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start"/>
        <w:rPr/>
      </w:pPr>
      <w:r>
        <w:rPr/>
        <w:t>Contributions potentielles du projet</w:t>
      </w:r>
    </w:p>
    <w:p>
      <w:pPr>
        <w:pStyle w:val="Heading3"/>
        <w:bidi w:val="0"/>
        <w:jc w:val="start"/>
        <w:rPr/>
      </w:pPr>
      <w:r>
        <w:rPr/>
        <w:t>1. Contribution théorique principale</w:t>
      </w:r>
    </w:p>
    <w:p>
      <w:pPr>
        <w:pStyle w:val="BodyText"/>
        <w:numPr>
          <w:ilvl w:val="0"/>
          <w:numId w:val="1"/>
        </w:numPr>
        <w:tabs>
          <w:tab w:val="left" w:pos="709" w:leader="none"/>
        </w:tabs>
        <w:bidi w:val="0"/>
        <w:spacing w:before="0" w:after="0"/>
        <w:ind w:hanging="283" w:start="709"/>
        <w:jc w:val="start"/>
        <w:rPr/>
      </w:pPr>
      <w:r>
        <w:rPr/>
        <w:t xml:space="preserve">Proposition d'un cadre théorique unifié reliant : </w:t>
      </w:r>
    </w:p>
    <w:p>
      <w:pPr>
        <w:pStyle w:val="BodyText"/>
        <w:numPr>
          <w:ilvl w:val="1"/>
          <w:numId w:val="1"/>
        </w:numPr>
        <w:tabs>
          <w:tab w:val="clear" w:pos="709"/>
          <w:tab w:val="left" w:pos="1418" w:leader="none"/>
        </w:tabs>
        <w:bidi w:val="0"/>
        <w:spacing w:before="0" w:after="0"/>
        <w:ind w:hanging="283" w:start="1418"/>
        <w:jc w:val="start"/>
        <w:rPr/>
      </w:pPr>
      <w:r>
        <w:rPr/>
        <w:t xml:space="preserve">l'efficacité des politiques publiques comportementales ; </w:t>
      </w:r>
    </w:p>
    <w:p>
      <w:pPr>
        <w:pStyle w:val="BodyText"/>
        <w:numPr>
          <w:ilvl w:val="1"/>
          <w:numId w:val="1"/>
        </w:numPr>
        <w:tabs>
          <w:tab w:val="clear" w:pos="709"/>
          <w:tab w:val="left" w:pos="1418" w:leader="none"/>
        </w:tabs>
        <w:bidi w:val="0"/>
        <w:spacing w:before="0" w:after="0"/>
        <w:ind w:hanging="283" w:start="1418"/>
        <w:jc w:val="start"/>
        <w:rPr/>
      </w:pPr>
      <w:r>
        <w:rPr/>
        <w:t xml:space="preserve">la réactance psychologique ; </w:t>
      </w:r>
    </w:p>
    <w:p>
      <w:pPr>
        <w:pStyle w:val="BodyText"/>
        <w:numPr>
          <w:ilvl w:val="1"/>
          <w:numId w:val="1"/>
        </w:numPr>
        <w:tabs>
          <w:tab w:val="clear" w:pos="709"/>
          <w:tab w:val="left" w:pos="1418" w:leader="none"/>
        </w:tabs>
        <w:bidi w:val="0"/>
        <w:spacing w:before="0" w:after="0"/>
        <w:ind w:hanging="283" w:start="1418"/>
        <w:jc w:val="start"/>
        <w:rPr/>
      </w:pPr>
      <w:r>
        <w:rPr/>
        <w:t xml:space="preserve">la confiance institutionnelle ; </w:t>
      </w:r>
    </w:p>
    <w:p>
      <w:pPr>
        <w:pStyle w:val="BodyText"/>
        <w:numPr>
          <w:ilvl w:val="1"/>
          <w:numId w:val="1"/>
        </w:numPr>
        <w:tabs>
          <w:tab w:val="clear" w:pos="709"/>
          <w:tab w:val="left" w:pos="1418" w:leader="none"/>
        </w:tabs>
        <w:bidi w:val="0"/>
        <w:spacing w:before="0" w:after="0"/>
        <w:ind w:hanging="283" w:start="1418"/>
        <w:jc w:val="start"/>
        <w:rPr/>
      </w:pPr>
      <w:r>
        <w:rPr/>
        <w:t xml:space="preserve">l'hétérogénéité des agents. </w:t>
      </w:r>
    </w:p>
    <w:p>
      <w:pPr>
        <w:pStyle w:val="BodyText"/>
        <w:numPr>
          <w:ilvl w:val="0"/>
          <w:numId w:val="1"/>
        </w:numPr>
        <w:tabs>
          <w:tab w:val="left" w:pos="709" w:leader="none"/>
        </w:tabs>
        <w:bidi w:val="0"/>
        <w:spacing w:before="0" w:after="0"/>
        <w:ind w:hanging="283" w:start="709"/>
        <w:jc w:val="start"/>
        <w:rPr/>
      </w:pPr>
      <w:r>
        <w:rPr/>
        <w:t xml:space="preserve">La littérature traite généralement ces dimensions séparément. </w:t>
      </w:r>
    </w:p>
    <w:p>
      <w:pPr>
        <w:pStyle w:val="BodyText"/>
        <w:numPr>
          <w:ilvl w:val="0"/>
          <w:numId w:val="1"/>
        </w:numPr>
        <w:tabs>
          <w:tab w:val="left" w:pos="709" w:leader="none"/>
        </w:tabs>
        <w:bidi w:val="0"/>
        <w:ind w:hanging="283" w:start="709"/>
        <w:jc w:val="start"/>
        <w:rPr/>
      </w:pPr>
      <w:r>
        <w:rPr/>
        <w:t xml:space="preserve">Le projet cherche à les intégrer dans une même fonction d'utilité. </w:t>
      </w:r>
    </w:p>
    <w:p>
      <w:pPr>
        <w:pStyle w:val="Lignehorizontale"/>
        <w:bidi w:val="0"/>
        <w:jc w:val="start"/>
        <w:rPr/>
      </w:pPr>
      <w:r>
        <w:rPr/>
      </w:r>
    </w:p>
    <w:p>
      <w:pPr>
        <w:pStyle w:val="Heading3"/>
        <w:bidi w:val="0"/>
        <w:jc w:val="start"/>
        <w:rPr/>
      </w:pPr>
      <w:r>
        <w:rPr/>
        <w:t>2. Formalisation économique de la réactance</w:t>
      </w:r>
    </w:p>
    <w:p>
      <w:pPr>
        <w:pStyle w:val="BodyText"/>
        <w:numPr>
          <w:ilvl w:val="0"/>
          <w:numId w:val="2"/>
        </w:numPr>
        <w:tabs>
          <w:tab w:val="left" w:pos="709" w:leader="none"/>
        </w:tabs>
        <w:bidi w:val="0"/>
        <w:spacing w:before="0" w:after="0"/>
        <w:ind w:hanging="283" w:start="709"/>
        <w:jc w:val="start"/>
        <w:rPr/>
      </w:pPr>
      <w:r>
        <w:rPr/>
        <w:t xml:space="preserve">Une grande partie de la littérature sur la réactance est psychologique et expérimentale. </w:t>
      </w:r>
    </w:p>
    <w:p>
      <w:pPr>
        <w:pStyle w:val="BodyText"/>
        <w:numPr>
          <w:ilvl w:val="0"/>
          <w:numId w:val="2"/>
        </w:numPr>
        <w:tabs>
          <w:tab w:val="left" w:pos="709" w:leader="none"/>
        </w:tabs>
        <w:bidi w:val="0"/>
        <w:spacing w:before="0" w:after="0"/>
        <w:ind w:hanging="283" w:start="709"/>
        <w:jc w:val="start"/>
        <w:rPr/>
      </w:pPr>
      <w:r>
        <w:rPr/>
        <w:t xml:space="preserve">Peu de travaux proposent une formalisation explicite de la réactance comme coût entrant directement dans l'utilité de l'agent. </w:t>
      </w:r>
    </w:p>
    <w:p>
      <w:pPr>
        <w:pStyle w:val="BodyText"/>
        <w:numPr>
          <w:ilvl w:val="0"/>
          <w:numId w:val="2"/>
        </w:numPr>
        <w:tabs>
          <w:tab w:val="left" w:pos="709" w:leader="none"/>
        </w:tabs>
        <w:bidi w:val="0"/>
        <w:ind w:hanging="283" w:start="709"/>
        <w:jc w:val="start"/>
        <w:rPr/>
      </w:pPr>
      <w:r>
        <w:rPr/>
        <w:t xml:space="preserve">Le projet modélise la réactance comme : </w:t>
      </w:r>
    </w:p>
    <w:p>
      <w:pPr>
        <w:pStyle w:val="BodyText"/>
        <w:bidi w:val="0"/>
        <w:jc w:val="start"/>
        <w:rPr/>
      </w:pPr>
      <w:r>
        <w:rPr/>
        <w:t xml:space="preserve">θi*(n/T)α </w:t>
      </w:r>
    </w:p>
    <w:p>
      <w:pPr>
        <w:pStyle w:val="BodyText"/>
        <w:bidi w:val="0"/>
        <w:jc w:val="start"/>
        <w:rPr/>
      </w:pPr>
      <w:r>
        <w:rPr/>
        <w:t>où :</w:t>
      </w:r>
    </w:p>
    <w:p>
      <w:pPr>
        <w:pStyle w:val="BodyText"/>
        <w:numPr>
          <w:ilvl w:val="0"/>
          <w:numId w:val="3"/>
        </w:numPr>
        <w:tabs>
          <w:tab w:val="left" w:pos="709" w:leader="none"/>
        </w:tabs>
        <w:bidi w:val="0"/>
        <w:spacing w:before="0" w:after="0"/>
        <w:ind w:hanging="283" w:start="709"/>
        <w:jc w:val="start"/>
        <w:rPr/>
      </w:pPr>
      <w:r>
        <w:rPr/>
        <w:t xml:space="preserve">θi représente la sensibilité individuelle à l'autonomie ; </w:t>
      </w:r>
    </w:p>
    <w:p>
      <w:pPr>
        <w:pStyle w:val="BodyText"/>
        <w:numPr>
          <w:ilvl w:val="0"/>
          <w:numId w:val="3"/>
        </w:numPr>
        <w:tabs>
          <w:tab w:val="left" w:pos="709" w:leader="none"/>
        </w:tabs>
        <w:bidi w:val="0"/>
        <w:spacing w:before="0" w:after="0"/>
        <w:ind w:hanging="283" w:start="709"/>
        <w:jc w:val="start"/>
        <w:rPr/>
      </w:pPr>
      <w:r>
        <w:rPr/>
        <w:t xml:space="preserve">T représente la confiance institutionnelle ; </w:t>
      </w:r>
    </w:p>
    <w:p>
      <w:pPr>
        <w:pStyle w:val="BodyText"/>
        <w:numPr>
          <w:ilvl w:val="0"/>
          <w:numId w:val="3"/>
        </w:numPr>
        <w:tabs>
          <w:tab w:val="left" w:pos="709" w:leader="none"/>
        </w:tabs>
        <w:bidi w:val="0"/>
        <w:ind w:hanging="283" w:start="709"/>
        <w:jc w:val="start"/>
        <w:rPr/>
      </w:pPr>
      <w:r>
        <w:rPr/>
        <w:t xml:space="preserve">n représente l'intensité de l'intervention publique. </w:t>
      </w:r>
    </w:p>
    <w:p>
      <w:pPr>
        <w:pStyle w:val="BodyText"/>
        <w:numPr>
          <w:ilvl w:val="0"/>
          <w:numId w:val="3"/>
        </w:numPr>
        <w:tabs>
          <w:tab w:val="left" w:pos="709" w:leader="none"/>
        </w:tabs>
        <w:bidi w:val="0"/>
        <w:ind w:hanging="283" w:start="709"/>
        <w:jc w:val="start"/>
        <w:rPr/>
      </w:pPr>
      <w:r>
        <w:rPr/>
        <w:t>Alpha est toujours supérieur à 1</w:t>
      </w:r>
    </w:p>
    <w:p>
      <w:pPr>
        <w:pStyle w:val="Lignehorizontale"/>
        <w:bidi w:val="0"/>
        <w:jc w:val="start"/>
        <w:rPr/>
      </w:pPr>
      <w:r>
        <w:rPr/>
      </w:r>
    </w:p>
    <w:p>
      <w:pPr>
        <w:pStyle w:val="Heading3"/>
        <w:bidi w:val="0"/>
        <w:jc w:val="start"/>
        <w:rPr/>
      </w:pPr>
      <w:r>
        <w:rPr/>
        <w:t>3. Introduction explicite de la confiance institutionnelle</w:t>
      </w:r>
    </w:p>
    <w:p>
      <w:pPr>
        <w:pStyle w:val="BodyText"/>
        <w:numPr>
          <w:ilvl w:val="0"/>
          <w:numId w:val="4"/>
        </w:numPr>
        <w:tabs>
          <w:tab w:val="left" w:pos="709" w:leader="none"/>
        </w:tabs>
        <w:bidi w:val="0"/>
        <w:spacing w:before="0" w:after="0"/>
        <w:ind w:hanging="283" w:start="709"/>
        <w:jc w:val="start"/>
        <w:rPr/>
      </w:pPr>
      <w:r>
        <w:rPr/>
        <w:t xml:space="preserve">La confiance est souvent identifiée comme un facteur important de l'acceptation des politiques publiques. </w:t>
      </w:r>
    </w:p>
    <w:p>
      <w:pPr>
        <w:pStyle w:val="BodyText"/>
        <w:numPr>
          <w:ilvl w:val="0"/>
          <w:numId w:val="4"/>
        </w:numPr>
        <w:tabs>
          <w:tab w:val="left" w:pos="709" w:leader="none"/>
        </w:tabs>
        <w:bidi w:val="0"/>
        <w:spacing w:before="0" w:after="0"/>
        <w:ind w:hanging="283" w:start="709"/>
        <w:jc w:val="start"/>
        <w:rPr/>
      </w:pPr>
      <w:r>
        <w:rPr/>
        <w:t xml:space="preserve">Elle est rarement intégrée directement dans les modèles de nudges. </w:t>
      </w:r>
    </w:p>
    <w:p>
      <w:pPr>
        <w:pStyle w:val="BodyText"/>
        <w:numPr>
          <w:ilvl w:val="0"/>
          <w:numId w:val="4"/>
        </w:numPr>
        <w:tabs>
          <w:tab w:val="left" w:pos="709" w:leader="none"/>
        </w:tabs>
        <w:bidi w:val="0"/>
        <w:ind w:hanging="283" w:start="709"/>
        <w:jc w:val="start"/>
        <w:rPr/>
      </w:pPr>
      <w:r>
        <w:rPr/>
        <w:t xml:space="preserve">Le projet fait de la confiance un déterminant structurel de l'efficacité des interventions comportementales. </w:t>
      </w:r>
    </w:p>
    <w:p>
      <w:pPr>
        <w:pStyle w:val="BodyText"/>
        <w:bidi w:val="0"/>
        <w:jc w:val="start"/>
        <w:rPr/>
      </w:pPr>
      <w:r>
        <w:rPr/>
        <w:t>Hypothèse centrale :</w:t>
      </w:r>
    </w:p>
    <w:p>
      <w:pPr>
        <w:pStyle w:val="Blocdecitation"/>
        <w:bidi w:val="0"/>
        <w:jc w:val="start"/>
        <w:rPr/>
      </w:pPr>
      <w:r>
        <w:rPr/>
        <w:t>À intervention identique, une population ayant une confiance institutionnelle plus faible développera davantage de réactance.</w:t>
      </w:r>
    </w:p>
    <w:p>
      <w:pPr>
        <w:pStyle w:val="Lignehorizontale"/>
        <w:bidi w:val="0"/>
        <w:jc w:val="start"/>
        <w:rPr/>
      </w:pPr>
      <w:r>
        <w:rPr/>
      </w:r>
    </w:p>
    <w:p>
      <w:pPr>
        <w:pStyle w:val="Heading3"/>
        <w:bidi w:val="0"/>
        <w:jc w:val="start"/>
        <w:rPr/>
      </w:pPr>
      <w:r>
        <w:rPr/>
        <w:t>4. Mécanisme de sélection comportementale</w:t>
      </w:r>
    </w:p>
    <w:p>
      <w:pPr>
        <w:pStyle w:val="BodyText"/>
        <w:bidi w:val="0"/>
        <w:jc w:val="start"/>
        <w:rPr/>
      </w:pPr>
      <w:r>
        <w:rPr/>
        <w:t>Le modèle prédit que :</w:t>
      </w:r>
    </w:p>
    <w:p>
      <w:pPr>
        <w:pStyle w:val="BodyText"/>
        <w:numPr>
          <w:ilvl w:val="0"/>
          <w:numId w:val="5"/>
        </w:numPr>
        <w:tabs>
          <w:tab w:val="left" w:pos="709" w:leader="none"/>
        </w:tabs>
        <w:bidi w:val="0"/>
        <w:spacing w:before="0" w:after="0"/>
        <w:ind w:hanging="283" w:start="709"/>
        <w:jc w:val="start"/>
        <w:rPr/>
      </w:pPr>
      <w:r>
        <w:rPr/>
        <w:t xml:space="preserve">les individus faiblement réactifs continuent à adopter l'action ; </w:t>
      </w:r>
    </w:p>
    <w:p>
      <w:pPr>
        <w:pStyle w:val="BodyText"/>
        <w:numPr>
          <w:ilvl w:val="0"/>
          <w:numId w:val="5"/>
        </w:numPr>
        <w:tabs>
          <w:tab w:val="left" w:pos="709" w:leader="none"/>
        </w:tabs>
        <w:bidi w:val="0"/>
        <w:ind w:hanging="283" w:start="709"/>
        <w:jc w:val="start"/>
        <w:rPr/>
      </w:pPr>
      <w:r>
        <w:rPr/>
        <w:t xml:space="preserve">les individus fortement réactifs peuvent abandonner l'action lorsque l'intensité de l'intervention augmente. </w:t>
      </w:r>
    </w:p>
    <w:p>
      <w:pPr>
        <w:pStyle w:val="BodyText"/>
        <w:bidi w:val="0"/>
        <w:jc w:val="start"/>
        <w:rPr/>
      </w:pPr>
      <w:r>
        <w:rPr/>
        <w:t>Conséquence :</w:t>
      </w:r>
    </w:p>
    <w:p>
      <w:pPr>
        <w:pStyle w:val="Blocdecitation"/>
        <w:bidi w:val="0"/>
        <w:jc w:val="start"/>
        <w:rPr/>
      </w:pPr>
      <w:r>
        <w:rPr/>
        <w:t>les politiques publiques produisent un tri comportemental endogène.</w:t>
      </w:r>
    </w:p>
    <w:p>
      <w:pPr>
        <w:pStyle w:val="BodyText"/>
        <w:bidi w:val="0"/>
        <w:jc w:val="start"/>
        <w:rPr/>
      </w:pPr>
      <w:r>
        <w:rPr/>
        <w:t>Cette idée semble relativement peu développée dans la littérature existante.</w:t>
      </w:r>
    </w:p>
    <w:p>
      <w:pPr>
        <w:pStyle w:val="Lignehorizontale"/>
        <w:bidi w:val="0"/>
        <w:jc w:val="start"/>
        <w:rPr/>
      </w:pPr>
      <w:r>
        <w:rPr/>
      </w:r>
    </w:p>
    <w:p>
      <w:pPr>
        <w:pStyle w:val="Heading3"/>
        <w:bidi w:val="0"/>
        <w:jc w:val="start"/>
        <w:rPr/>
      </w:pPr>
      <w:r>
        <w:rPr/>
        <w:t>5. Existence d'un seuil critique individuel</w:t>
      </w:r>
    </w:p>
    <w:p>
      <w:pPr>
        <w:pStyle w:val="BodyText"/>
        <w:bidi w:val="0"/>
        <w:jc w:val="start"/>
        <w:rPr/>
      </w:pPr>
      <w:r>
        <w:rPr/>
        <w:t>Le modèle permet de définir un seuil critique :</w:t>
      </w:r>
    </w:p>
    <w:p>
      <w:pPr>
        <w:pStyle w:val="BodyText"/>
        <w:bidi w:val="0"/>
        <w:jc w:val="start"/>
        <w:rPr/>
      </w:pPr>
      <w:r>
        <w:rPr/>
        <w:t>θˉ(n)</w:t>
      </w:r>
    </w:p>
    <w:p>
      <w:pPr>
        <w:pStyle w:val="BodyText"/>
        <w:bidi w:val="0"/>
        <w:jc w:val="start"/>
        <w:rPr/>
      </w:pPr>
      <w:r>
        <w:rPr/>
        <w:t>au-delà duquel l'effet marginal du nudge devient négatif pour un agent donné.</w:t>
      </w:r>
    </w:p>
    <w:p>
      <w:pPr>
        <w:pStyle w:val="BodyText"/>
        <w:bidi w:val="0"/>
        <w:jc w:val="start"/>
        <w:rPr/>
      </w:pPr>
      <w:r>
        <w:rPr/>
        <w:t>Contribution :</w:t>
      </w:r>
    </w:p>
    <w:p>
      <w:pPr>
        <w:pStyle w:val="BodyText"/>
        <w:numPr>
          <w:ilvl w:val="0"/>
          <w:numId w:val="6"/>
        </w:numPr>
        <w:tabs>
          <w:tab w:val="left" w:pos="709" w:leader="none"/>
        </w:tabs>
        <w:bidi w:val="0"/>
        <w:ind w:hanging="283" w:start="709"/>
        <w:jc w:val="start"/>
        <w:rPr/>
      </w:pPr>
      <w:r>
        <w:rPr/>
        <w:t xml:space="preserve">identification analytique des conditions de bascule entre adhésion et rejet. </w:t>
      </w:r>
    </w:p>
    <w:p>
      <w:pPr>
        <w:pStyle w:val="Lignehorizontale"/>
        <w:bidi w:val="0"/>
        <w:jc w:val="start"/>
        <w:rPr/>
      </w:pPr>
      <w:r>
        <w:rPr/>
      </w:r>
    </w:p>
    <w:p>
      <w:pPr>
        <w:pStyle w:val="Heading3"/>
        <w:bidi w:val="0"/>
        <w:jc w:val="start"/>
        <w:rPr/>
      </w:pPr>
      <w:r>
        <w:rPr/>
        <w:t>6. Existence d'un optimum d'intensité de l'intervention</w:t>
      </w:r>
    </w:p>
    <w:p>
      <w:pPr>
        <w:pStyle w:val="BodyText"/>
        <w:bidi w:val="0"/>
        <w:jc w:val="start"/>
        <w:rPr/>
      </w:pPr>
      <w:r>
        <w:rPr/>
        <w:t>Le modèle suggère que :</w:t>
      </w:r>
    </w:p>
    <w:p>
      <w:pPr>
        <w:pStyle w:val="BodyText"/>
        <w:numPr>
          <w:ilvl w:val="0"/>
          <w:numId w:val="7"/>
        </w:numPr>
        <w:tabs>
          <w:tab w:val="left" w:pos="709" w:leader="none"/>
        </w:tabs>
        <w:bidi w:val="0"/>
        <w:spacing w:before="0" w:after="0"/>
        <w:ind w:hanging="283" w:start="709"/>
        <w:jc w:val="start"/>
        <w:rPr/>
      </w:pPr>
      <w:r>
        <w:rPr/>
        <w:t xml:space="preserve">renforcer continuellement une politique publique n'augmente pas nécessairement son efficacité ; </w:t>
      </w:r>
    </w:p>
    <w:p>
      <w:pPr>
        <w:pStyle w:val="BodyText"/>
        <w:numPr>
          <w:ilvl w:val="0"/>
          <w:numId w:val="7"/>
        </w:numPr>
        <w:tabs>
          <w:tab w:val="left" w:pos="709" w:leader="none"/>
        </w:tabs>
        <w:bidi w:val="0"/>
        <w:ind w:hanging="283" w:start="709"/>
        <w:jc w:val="start"/>
        <w:rPr/>
      </w:pPr>
      <w:r>
        <w:rPr/>
        <w:t xml:space="preserve">il peut exister un niveau optimal d'intensité : </w:t>
      </w:r>
    </w:p>
    <w:p>
      <w:pPr>
        <w:pStyle w:val="BodyText"/>
        <w:bidi w:val="0"/>
        <w:jc w:val="start"/>
        <w:rPr/>
      </w:pPr>
      <w:r>
        <w:rPr/>
        <w:t xml:space="preserve">n∗n^*n∗ </w:t>
      </w:r>
    </w:p>
    <w:p>
      <w:pPr>
        <w:pStyle w:val="BodyText"/>
        <w:bidi w:val="0"/>
        <w:jc w:val="start"/>
        <w:rPr/>
      </w:pPr>
      <w:r>
        <w:rPr/>
        <w:t>maximisant l'adoption.</w:t>
      </w:r>
    </w:p>
    <w:p>
      <w:pPr>
        <w:pStyle w:val="BodyText"/>
        <w:bidi w:val="0"/>
        <w:jc w:val="start"/>
        <w:rPr/>
      </w:pPr>
      <w:r>
        <w:rPr/>
        <w:t>Conséquence :</w:t>
      </w:r>
    </w:p>
    <w:p>
      <w:pPr>
        <w:pStyle w:val="Blocdecitation"/>
        <w:bidi w:val="0"/>
        <w:jc w:val="start"/>
        <w:rPr/>
      </w:pPr>
      <w:r>
        <w:rPr/>
        <w:t>certaines politiques peuvent devenir contre-productives lorsqu'elles sont poussées au-delà d'un certain seuil.</w:t>
      </w:r>
    </w:p>
    <w:p>
      <w:pPr>
        <w:pStyle w:val="Lignehorizontale"/>
        <w:bidi w:val="0"/>
        <w:jc w:val="start"/>
        <w:rPr/>
      </w:pPr>
      <w:r>
        <w:rPr/>
      </w:r>
    </w:p>
    <w:p>
      <w:pPr>
        <w:pStyle w:val="Heading3"/>
        <w:bidi w:val="0"/>
        <w:jc w:val="start"/>
        <w:rPr/>
      </w:pPr>
      <w:r>
        <w:rPr/>
        <w:t>7. Contribution méthodologique</w:t>
      </w:r>
    </w:p>
    <w:p>
      <w:pPr>
        <w:pStyle w:val="BodyText"/>
        <w:bidi w:val="0"/>
        <w:jc w:val="start"/>
        <w:rPr/>
      </w:pPr>
      <w:r>
        <w:rPr/>
        <w:t>Le projet combine :</w:t>
      </w:r>
    </w:p>
    <w:p>
      <w:pPr>
        <w:pStyle w:val="BodyText"/>
        <w:numPr>
          <w:ilvl w:val="0"/>
          <w:numId w:val="8"/>
        </w:numPr>
        <w:tabs>
          <w:tab w:val="left" w:pos="709" w:leader="none"/>
        </w:tabs>
        <w:bidi w:val="0"/>
        <w:spacing w:before="0" w:after="0"/>
        <w:ind w:hanging="283" w:start="709"/>
        <w:jc w:val="start"/>
        <w:rPr/>
      </w:pPr>
      <w:r>
        <w:rPr/>
        <w:t xml:space="preserve">économie comportementale ; </w:t>
      </w:r>
    </w:p>
    <w:p>
      <w:pPr>
        <w:pStyle w:val="BodyText"/>
        <w:numPr>
          <w:ilvl w:val="0"/>
          <w:numId w:val="8"/>
        </w:numPr>
        <w:tabs>
          <w:tab w:val="left" w:pos="709" w:leader="none"/>
        </w:tabs>
        <w:bidi w:val="0"/>
        <w:spacing w:before="0" w:after="0"/>
        <w:ind w:hanging="283" w:start="709"/>
        <w:jc w:val="start"/>
        <w:rPr/>
      </w:pPr>
      <w:r>
        <w:rPr/>
        <w:t xml:space="preserve">théorie des jeux ; </w:t>
      </w:r>
    </w:p>
    <w:p>
      <w:pPr>
        <w:pStyle w:val="BodyText"/>
        <w:numPr>
          <w:ilvl w:val="0"/>
          <w:numId w:val="8"/>
        </w:numPr>
        <w:tabs>
          <w:tab w:val="left" w:pos="709" w:leader="none"/>
        </w:tabs>
        <w:bidi w:val="0"/>
        <w:spacing w:before="0" w:after="0"/>
        <w:ind w:hanging="283" w:start="709"/>
        <w:jc w:val="start"/>
        <w:rPr/>
      </w:pPr>
      <w:r>
        <w:rPr/>
        <w:t xml:space="preserve">psychologie sociale ; </w:t>
      </w:r>
    </w:p>
    <w:p>
      <w:pPr>
        <w:pStyle w:val="BodyText"/>
        <w:numPr>
          <w:ilvl w:val="0"/>
          <w:numId w:val="8"/>
        </w:numPr>
        <w:tabs>
          <w:tab w:val="left" w:pos="709" w:leader="none"/>
        </w:tabs>
        <w:bidi w:val="0"/>
        <w:ind w:hanging="283" w:start="709"/>
        <w:jc w:val="start"/>
        <w:rPr/>
      </w:pPr>
      <w:r>
        <w:rPr/>
        <w:t xml:space="preserve">simulation multi-agents. </w:t>
      </w:r>
    </w:p>
    <w:p>
      <w:pPr>
        <w:pStyle w:val="BodyText"/>
        <w:bidi w:val="0"/>
        <w:jc w:val="start"/>
        <w:rPr/>
      </w:pPr>
      <w:r>
        <w:rPr/>
        <w:t>Cette approche permet d'étudier simultanément :</w:t>
      </w:r>
    </w:p>
    <w:p>
      <w:pPr>
        <w:pStyle w:val="BodyText"/>
        <w:numPr>
          <w:ilvl w:val="0"/>
          <w:numId w:val="9"/>
        </w:numPr>
        <w:tabs>
          <w:tab w:val="left" w:pos="709" w:leader="none"/>
        </w:tabs>
        <w:bidi w:val="0"/>
        <w:spacing w:before="0" w:after="0"/>
        <w:ind w:hanging="283" w:start="709"/>
        <w:jc w:val="start"/>
        <w:rPr/>
      </w:pPr>
      <w:r>
        <w:rPr/>
        <w:t xml:space="preserve">les comportements individuels ; </w:t>
      </w:r>
    </w:p>
    <w:p>
      <w:pPr>
        <w:pStyle w:val="BodyText"/>
        <w:numPr>
          <w:ilvl w:val="0"/>
          <w:numId w:val="9"/>
        </w:numPr>
        <w:tabs>
          <w:tab w:val="left" w:pos="709" w:leader="none"/>
        </w:tabs>
        <w:bidi w:val="0"/>
        <w:ind w:hanging="283" w:start="709"/>
        <w:jc w:val="start"/>
        <w:rPr/>
      </w:pPr>
      <w:r>
        <w:rPr/>
        <w:t xml:space="preserve">les effets agrégés sur la population. </w:t>
      </w:r>
    </w:p>
    <w:p>
      <w:pPr>
        <w:pStyle w:val="Lignehorizontale"/>
        <w:bidi w:val="0"/>
        <w:jc w:val="start"/>
        <w:rPr/>
      </w:pPr>
      <w:r>
        <w:rPr/>
      </w:r>
    </w:p>
    <w:p>
      <w:pPr>
        <w:pStyle w:val="Heading3"/>
        <w:bidi w:val="0"/>
        <w:jc w:val="start"/>
        <w:rPr/>
      </w:pPr>
      <w:r>
        <w:rPr/>
        <w:t>8. Contribution potentielle à la santé publique</w:t>
      </w:r>
    </w:p>
    <w:p>
      <w:pPr>
        <w:pStyle w:val="BodyText"/>
        <w:bidi w:val="0"/>
        <w:jc w:val="start"/>
        <w:rPr/>
      </w:pPr>
      <w:r>
        <w:rPr/>
        <w:t>Applications possibles :</w:t>
      </w:r>
    </w:p>
    <w:p>
      <w:pPr>
        <w:pStyle w:val="BodyText"/>
        <w:numPr>
          <w:ilvl w:val="0"/>
          <w:numId w:val="10"/>
        </w:numPr>
        <w:tabs>
          <w:tab w:val="left" w:pos="709" w:leader="none"/>
        </w:tabs>
        <w:bidi w:val="0"/>
        <w:spacing w:before="0" w:after="0"/>
        <w:ind w:hanging="283" w:start="709"/>
        <w:jc w:val="start"/>
        <w:rPr/>
      </w:pPr>
      <w:r>
        <w:rPr/>
        <w:t xml:space="preserve">vaccination ; </w:t>
      </w:r>
    </w:p>
    <w:p>
      <w:pPr>
        <w:pStyle w:val="BodyText"/>
        <w:numPr>
          <w:ilvl w:val="0"/>
          <w:numId w:val="10"/>
        </w:numPr>
        <w:tabs>
          <w:tab w:val="left" w:pos="709" w:leader="none"/>
        </w:tabs>
        <w:bidi w:val="0"/>
        <w:spacing w:before="0" w:after="0"/>
        <w:ind w:hanging="283" w:start="709"/>
        <w:jc w:val="start"/>
        <w:rPr/>
      </w:pPr>
      <w:r>
        <w:rPr/>
        <w:t xml:space="preserve">dépistage ; </w:t>
      </w:r>
    </w:p>
    <w:p>
      <w:pPr>
        <w:pStyle w:val="BodyText"/>
        <w:numPr>
          <w:ilvl w:val="0"/>
          <w:numId w:val="10"/>
        </w:numPr>
        <w:tabs>
          <w:tab w:val="left" w:pos="709" w:leader="none"/>
        </w:tabs>
        <w:bidi w:val="0"/>
        <w:spacing w:before="0" w:after="0"/>
        <w:ind w:hanging="283" w:start="709"/>
        <w:jc w:val="start"/>
        <w:rPr/>
      </w:pPr>
      <w:r>
        <w:rPr/>
        <w:t xml:space="preserve">don d'organes ; </w:t>
      </w:r>
    </w:p>
    <w:p>
      <w:pPr>
        <w:pStyle w:val="BodyText"/>
        <w:numPr>
          <w:ilvl w:val="0"/>
          <w:numId w:val="10"/>
        </w:numPr>
        <w:tabs>
          <w:tab w:val="left" w:pos="709" w:leader="none"/>
        </w:tabs>
        <w:bidi w:val="0"/>
        <w:spacing w:before="0" w:after="0"/>
        <w:ind w:hanging="283" w:start="709"/>
        <w:jc w:val="start"/>
        <w:rPr/>
      </w:pPr>
      <w:r>
        <w:rPr/>
        <w:t xml:space="preserve">télémédecine ; </w:t>
      </w:r>
    </w:p>
    <w:p>
      <w:pPr>
        <w:pStyle w:val="BodyText"/>
        <w:numPr>
          <w:ilvl w:val="0"/>
          <w:numId w:val="10"/>
        </w:numPr>
        <w:tabs>
          <w:tab w:val="left" w:pos="709" w:leader="none"/>
        </w:tabs>
        <w:bidi w:val="0"/>
        <w:spacing w:before="0" w:after="0"/>
        <w:ind w:hanging="283" w:start="709"/>
        <w:jc w:val="start"/>
        <w:rPr/>
      </w:pPr>
      <w:r>
        <w:rPr/>
        <w:t xml:space="preserve">prévention nutritionnelle ; </w:t>
      </w:r>
    </w:p>
    <w:p>
      <w:pPr>
        <w:pStyle w:val="BodyText"/>
        <w:numPr>
          <w:ilvl w:val="0"/>
          <w:numId w:val="10"/>
        </w:numPr>
        <w:tabs>
          <w:tab w:val="left" w:pos="709" w:leader="none"/>
        </w:tabs>
        <w:bidi w:val="0"/>
        <w:ind w:hanging="283" w:start="709"/>
        <w:jc w:val="start"/>
        <w:rPr/>
      </w:pPr>
      <w:r>
        <w:rPr/>
        <w:t xml:space="preserve">adoption d'outils numériques de santé. </w:t>
      </w:r>
    </w:p>
    <w:p>
      <w:pPr>
        <w:pStyle w:val="BodyText"/>
        <w:bidi w:val="0"/>
        <w:jc w:val="start"/>
        <w:rPr/>
      </w:pPr>
      <w:r>
        <w:rPr/>
        <w:t>Question générale :</w:t>
      </w:r>
    </w:p>
    <w:p>
      <w:pPr>
        <w:pStyle w:val="Blocdecitation"/>
        <w:bidi w:val="0"/>
        <w:jc w:val="start"/>
        <w:rPr/>
      </w:pPr>
      <w:r>
        <w:rPr/>
        <w:t>Comment calibrer une intervention publique afin de maximiser l'adoption sans déclencher excessivement la réactance ?</w:t>
      </w:r>
    </w:p>
    <w:p>
      <w:pPr>
        <w:pStyle w:val="BodyText"/>
        <w:rPr/>
      </w:pPr>
      <w:r>
        <w:rPr/>
        <w:t>Le modèle proposé ne vise pas uniquement à décrire théoriquement l'existence d'une réactance comportementale, mais peut également être mobilisé afin d'estimer la probabilité d'adoption d'une politique publique au sein d'une population donnée. L'idée centrale est que l'adoption agrégée d'une campagne dépend de la distribution des caractéristiques individuelles des agents. Pour un individu i, la décision d'adopter l'action dépend de la comparaison entre sa motivation intrinsèque Vi, le coût initial de l'action c, le bénéfice attendu de l'intervention ϕ(n), ainsi que le coût psychologique associé à la perception d'une perte d'autonomie :</w:t>
      </w:r>
    </w:p>
    <w:p>
      <w:pPr>
        <w:pStyle w:val="BodyText"/>
        <w:jc w:val="center"/>
        <w:rPr/>
      </w:pPr>
      <w:r>
        <w:rPr>
          <w:b/>
          <w:bCs/>
        </w:rPr>
        <w:t>Ui=Vi−c+ϕ(n)−θi(n/T)</w:t>
      </w:r>
      <w:r>
        <w:rPr>
          <w:b/>
          <w:bCs/>
          <w:vertAlign w:val="superscript"/>
        </w:rPr>
        <w:t>α</w:t>
      </w:r>
      <w:r>
        <w:rPr/>
        <w:t xml:space="preserve"> </w:t>
      </w:r>
    </w:p>
    <w:p>
      <w:pPr>
        <w:pStyle w:val="BodyText"/>
        <w:rPr/>
      </w:pPr>
      <w:r>
        <w:rPr/>
        <w:t>où θi représente la sensibilité individuelle à la réactance et T le niveau de confiance institutionnelle. Dans une application réelle, ces paramètres individuels ne sont pas directement observables mais peuvent être estimés grâce à des données collectées en amont d'une campagne. Un questionnaire auprès de la population cible permettrait notamment d'approcher les motivations intrinsèques des individus (Vi), leur sensibilité au contrôle ou à l'influence externe (θi​), ainsi que leur niveau de confiance envers l'institution porteuse de la campagne (T). Ces informations permettrai</w:t>
      </w:r>
      <w:r>
        <w:rPr/>
        <w:t>en</w:t>
      </w:r>
      <w:r>
        <w:rPr/>
        <w:t>t alors d'estimer les distributions de la population, puis de simuler différents scénarios d'intervention. En faisant varier l'intensité de la campagne n, le modèle permettrait d'identifier la zone dans laquelle l'effet positif de l'intervention domine les coûts psychologiques associés, mais également de détecter l'apparition d'un seuil au-delà duquel une intensification supplémentaire devient contre-productive. Le modèle ne cherche donc pas à prédire individuellement le comportement d'un agent précis, mais à fournir un outil d'aide à la décision permettant d'évaluer ex ante la probabilité d'adoption d'une campagne selon les caractéristiques de la population ciblée et le niveau d'intervention envisagé.</w:t>
      </w:r>
    </w:p>
    <w:p>
      <w:pPr>
        <w:pStyle w:val="Heading3"/>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auto"/>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Heading2">
    <w:name w:val="heading 2"/>
    <w:basedOn w:val="Titre"/>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Titre"/>
    <w:next w:val="BodyText"/>
    <w:qFormat/>
    <w:pPr>
      <w:spacing w:before="140" w:after="120"/>
      <w:outlineLvl w:val="2"/>
    </w:pPr>
    <w:rPr>
      <w:rFonts w:ascii="Liberation Serif" w:hAnsi="Liberation Serif" w:eastAsia="NSimSun" w:cs="Lucida Sans"/>
      <w:b/>
      <w:bCs/>
      <w:sz w:val="28"/>
      <w:szCs w:val="28"/>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gnehorizontale">
    <w:name w:val="Ligne horizontale"/>
    <w:basedOn w:val="Normal"/>
    <w:next w:val="BodyText"/>
    <w:qFormat/>
    <w:pPr>
      <w:suppressLineNumbers/>
      <w:pBdr>
        <w:bottom w:val="double" w:sz="2" w:space="0" w:color="808080"/>
      </w:pBdr>
      <w:spacing w:before="0" w:after="283"/>
    </w:pPr>
    <w:rPr>
      <w:sz w:val="12"/>
      <w:szCs w:val="12"/>
    </w:rPr>
  </w:style>
  <w:style w:type="paragraph" w:styleId="Blocdecitation">
    <w:name w:val="Bloc de ci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LibreOffice/24.8.0.3$Windows_X86_64 LibreOffice_project/0bdf1299c94fe897b119f97f3c613e9dca6be583</Application>
  <AppVersion>15.0000</AppVersion>
  <Pages>3</Pages>
  <Words>597</Words>
  <Characters>3638</Characters>
  <CharactersWithSpaces>4998</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2026-06-01T17:39:12Z</dcterms:created>
  <dc:creator/>
  <dc:description/>
  <dc:language>fr-FR</dc:language>
  <cp:lastModifiedBy/>
  <dcterms:modified xsi:type="dcterms:W3CDTF">2026-06-17T18:21:19Z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