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xml:space="preserve">Soveri et al. (2024) — </w:t>
      </w:r>
      <w:r>
        <w:rPr>
          <w:rStyle w:val="Emphasis"/>
        </w:rPr>
        <w:t>Trait reactance as psychological motivation to reject vaccination </w:t>
      </w:r>
      <w:r>
        <w:rPr/>
        <w:t>: Étude sur 3 expériences sur la réactance dans le cadre de campagne de vaccination COVID 19. Les auteurs montrent que la réactance n’est pas ou peu affectée par le framing d’une campagne et que les individus réactant post covid à une éventuelle vaccination, ne changent pas d’avis quelle que soit la méthode utilisée. Ceci impacte l’hypothèse sur la réactance dans mon modèle puisque les chercheurs ici, ont abordés 3 méthodes (incitative, neutre et obligatoire) et qu’ils ont constatés une part de la réactance qui diminue mais assez peu.</w:t>
      </w:r>
    </w:p>
    <w:p>
      <w:pPr>
        <w:pStyle w:val="Normal"/>
        <w:bidi w:val="0"/>
        <w:jc w:val="start"/>
        <w:rPr/>
      </w:pPr>
      <w:r>
        <w:rPr/>
      </w:r>
    </w:p>
    <w:p>
      <w:pPr>
        <w:pStyle w:val="Normal"/>
        <w:bidi w:val="0"/>
        <w:jc w:val="start"/>
        <w:rPr/>
      </w:pPr>
      <w:r>
        <w:rPr/>
        <w:t>Guignard Romain, Andler Raphaël, Pasquereau Anne, Smadja Olivier, Wilquin Jean-Louis,</w:t>
      </w:r>
    </w:p>
    <w:p>
      <w:pPr>
        <w:pStyle w:val="Normal"/>
        <w:bidi w:val="0"/>
        <w:jc w:val="start"/>
        <w:rPr/>
      </w:pPr>
      <w:r>
        <w:rPr/>
        <w:t xml:space="preserve">Gall Bérengère, Arwidson Pierre, Nguyen-Thanh Viêt (2018)  --- </w:t>
      </w:r>
      <w:r>
        <w:rPr>
          <w:rStyle w:val="Emphasis"/>
          <w:rFonts w:eastAsia="NSimSun" w:cs="Lucida Sans"/>
          <w:color w:val="auto"/>
          <w:kern w:val="2"/>
          <w:sz w:val="24"/>
          <w:szCs w:val="24"/>
          <w:lang w:val="fr-FR" w:eastAsia="zh-CN" w:bidi="hi-IN"/>
        </w:rPr>
        <w:t>Apports et limites des post-tests pour évaluer les campagnes média : l'exemple de Mois sans tabac</w:t>
      </w:r>
      <w:r>
        <w:rPr/>
        <w:t> : Sur les campagnes 2016 et 2017, il s’agit là des résultats de post-tests sur un échantillon représentatif mené par santé publique France. Dans ces résultats on lit que 80 % des personnes connaissent ou ont déjà entendu parlé du dispositif, 53 % se souviennent avoir vu ou lu un élément de communication lié à la campagne 52 % des fumeurs ont avoué que la campagne les a poussé à réfléchir à leur consommation et 36 % à considérer l’arrêt du tabac. Les chiffres sur la consommation étant en baisse, il n’est pas non plus possible de les attribuer aux campagnes mais à priori, celles-ci sont connues et populaires. Ici, on a un exemple de campagne ‘incitative’ douce qui a bel et bien un impact mais dont les effets sur la consommation ne sont pas prouvés (chiffrés).</w:t>
      </w:r>
    </w:p>
    <w:p>
      <w:pPr>
        <w:pStyle w:val="Normal"/>
        <w:bidi w:val="0"/>
        <w:jc w:val="start"/>
        <w:rPr/>
      </w:pPr>
      <w:r>
        <w:rPr/>
      </w:r>
    </w:p>
    <w:p>
      <w:pPr>
        <w:pStyle w:val="Normal"/>
        <w:bidi w:val="0"/>
        <w:jc w:val="start"/>
        <w:rPr/>
      </w:pPr>
      <w:r>
        <w:rPr/>
        <w:t xml:space="preserve">Banerjee et al. (2021) — </w:t>
      </w:r>
      <w:r>
        <w:rPr>
          <w:rStyle w:val="Emphasis"/>
        </w:rPr>
        <w:t>Selecting the Most Effective Nudge: Evidence from a Large-Scale Experiment on Immunization </w:t>
      </w:r>
      <w:r>
        <w:rPr/>
        <w:t>: Dans cet article les auteurs étudient les effets de différents nudges sur les taux de vaccination. L’avantage de ce papier est qu’il repose sur un mix de plus de 75 types différents de campagnes/communication/politiques pour évaluer les performances. Les auteurs montrent que la bonne construction d’une politique publique a un intérêt sur sa réussite. Pour mon travail, ce papier vient justifier, d’une part, le fait que la prédiction de la réactance et de la motivation des agents dépends de la forme de la politique publique appliquée et, d’autre part, que la réussite d’une politique va dépendre aussi du réseau entre les agents. Ce point est essentiel pour la deuxième partie de mon papier avec l’approche dynamique en réseau des agents.</w:t>
      </w:r>
    </w:p>
    <w:p>
      <w:pPr>
        <w:pStyle w:val="Normal"/>
        <w:bidi w:val="0"/>
        <w:jc w:val="start"/>
        <w:rPr/>
      </w:pPr>
      <w:r>
        <w:rPr/>
      </w:r>
    </w:p>
    <w:p>
      <w:pPr>
        <w:pStyle w:val="Normal"/>
        <w:bidi w:val="0"/>
        <w:jc w:val="start"/>
        <w:rPr/>
      </w:pPr>
      <w:r>
        <w:rPr/>
        <w:t xml:space="preserve">Verpaalen et al. (2025) — </w:t>
      </w:r>
      <w:r>
        <w:rPr>
          <w:rStyle w:val="Emphasis"/>
        </w:rPr>
        <w:t>Psychological reactance and vaccine uptake </w:t>
      </w:r>
      <w:r>
        <w:rPr/>
        <w:t>: Dans ce papier, les auteurs font une analyse sur un panel de personnes (hollandais) sur la vaccination COVID 19 pour voir comment les politiques influences la réactance. Ils concluent avec plusieurs points, la réactance est liée à la confiance dans la vaccination, une grande partie des réactants sont simplement des gens qui hésites et non des gens fermement contre la vaccination et, une fois la politique mise en place, le taux de réactance n’évolue pas significativement dans le temps. Ce que cela signifie pour mon papier, il existe bien une relation réactance/confiance (ici c’est sur la vaccination mais on peut aussi parler d’institution dans d’autres cadres) et, que l’approche dynamique peut être remise en question, car c’est le deuxième papier qui avance que la réactance n’évolue pas dans le temps. En gros, j’ai fait mon choix, je m’y tiens qu’importe les incitation mises en place par les institutions. Toutefois, le contexte reste particulier puisqu’il ne s’agit pas là de vaccination standard mais d’une campagne d’urgence dans le cadre d’un épidémie mondiale avec les tensions politico-sociales qui s’y rattachent. Je garde quand même l’approche en réseau et il est possible que si ce n’est pas la réactance qui bouge dans le temps, ce soit les motivations intrinsèques des agents (en lien avec les autres agents et les politiques publiques).</w:t>
      </w:r>
    </w:p>
    <w:p>
      <w:pPr>
        <w:pStyle w:val="Normal"/>
        <w:bidi w:val="0"/>
        <w:jc w:val="start"/>
        <w:rPr/>
      </w:pPr>
      <w:r>
        <w:rPr/>
      </w:r>
    </w:p>
    <w:p>
      <w:pPr>
        <w:pStyle w:val="Normal"/>
        <w:bidi w:val="0"/>
        <w:jc w:val="start"/>
        <w:rPr/>
      </w:pPr>
      <w:r>
        <w:rPr/>
        <w:t>Patrick Peretti-Watel, Valérie Seror, Enguerrand du Roscoät, François Beck (2009) ---</w:t>
      </w:r>
      <w:r>
        <w:rPr>
          <w:rStyle w:val="Emphasis"/>
          <w:rFonts w:eastAsia="NSimSun" w:cs="Lucida Sans"/>
          <w:color w:val="auto"/>
          <w:kern w:val="2"/>
          <w:sz w:val="24"/>
          <w:szCs w:val="24"/>
          <w:lang w:val="fr-FR" w:eastAsia="zh-CN" w:bidi="hi-IN"/>
        </w:rPr>
        <w:t>attitudes à l’égard de la santé, perceptions des messages préventifs et impact des campagnes</w:t>
      </w:r>
      <w:r>
        <w:rPr/>
        <w:t> : Ce papier est une étude de santé publique France qui date un peu mais qui apporte de la matière sur les profils des réactants et l’intérêt de bien cibler les gens avec une campagne adaptée. Ces cinq profils de récepteurs identifiés (réceptifs, angoissés, indifférents, méfiants, hostiles dont 30 % méfiants/hostiles) ont tous des visions différentes du changement. Les auteurs concluent qu’avec des approches innovantes, il est possible d’attirer les plus indifférents vers des comportements et des habitudes nouvelles, là où les classes méfiantes et hostiles semblent être cette part de réactant inamovible dont le refus est quasiment ancré sur le long terme. Ce papier apporte à mes recherches le fait que la part de 20 à 30 % de récatants quelle que soit la politique menées existe bien et qu’il existe aussi beaucoup d’enquêtes menées par santé publique France autour des résultats des campagnes de sensibilisation qui pourraient nous permettre de paramétrer le modèle et de le faire évoluer en fonction des différents types de politiques publiques menés et des sujets qu’elles abordent.</w:t>
      </w:r>
    </w:p>
    <w:p>
      <w:pPr>
        <w:pStyle w:val="Normal"/>
        <w:bidi w:val="0"/>
        <w:jc w:val="start"/>
        <w:rPr/>
      </w:pPr>
      <w:r>
        <w:rPr/>
      </w:r>
    </w:p>
    <w:p>
      <w:pPr>
        <w:pStyle w:val="Normal"/>
        <w:bidi w:val="0"/>
        <w:jc w:val="start"/>
        <w:rPr/>
      </w:pPr>
      <w:r>
        <w:rPr/>
        <w:t xml:space="preserve">Santé publique France (2024) -- </w:t>
      </w:r>
      <w:r>
        <w:rPr>
          <w:rStyle w:val="Emphasis"/>
          <w:rFonts w:eastAsia="NSimSun" w:cs="Lucida Sans"/>
          <w:color w:val="auto"/>
          <w:kern w:val="2"/>
          <w:sz w:val="24"/>
          <w:szCs w:val="24"/>
          <w:lang w:val="fr-FR" w:eastAsia="zh-CN" w:bidi="hi-IN"/>
        </w:rPr>
        <w:t>Baromètre de Santé publique France: résultats de l’édition 2024</w:t>
      </w:r>
      <w:r>
        <w:rPr/>
        <w:t> :  C’est juste un compte rendu sur les enquêtes menées par santé publique France. Seul point à retenir, c’est qu’ils doivent disposer de bases solides sur les perceptions des gens des campagnes de santé publique.</w:t>
      </w:r>
    </w:p>
    <w:p>
      <w:pPr>
        <w:pStyle w:val="Normal"/>
        <w:bidi w:val="0"/>
        <w:jc w:val="start"/>
        <w:rPr/>
      </w:pPr>
      <w:r>
        <w:rPr/>
      </w:r>
    </w:p>
    <w:p>
      <w:pPr>
        <w:pStyle w:val="Normal"/>
        <w:bidi w:val="0"/>
        <w:jc w:val="start"/>
        <w:rPr/>
      </w:pPr>
      <w:r>
        <w:rPr/>
        <w:t xml:space="preserve">Nadine Job-Spira, Laurence Meyer, Elisabeth Bouvet, Alfred </w:t>
      </w:r>
      <w:r>
        <w:rPr/>
        <w:t>Spira (1987) --</w:t>
      </w:r>
      <w:r>
        <w:rPr>
          <w:rStyle w:val="Emphasis"/>
          <w:rFonts w:eastAsia="NSimSun" w:cs="Lucida Sans"/>
          <w:color w:val="auto"/>
          <w:kern w:val="2"/>
          <w:sz w:val="24"/>
          <w:szCs w:val="24"/>
          <w:lang w:val="fr-FR" w:eastAsia="zh-CN" w:bidi="hi-IN"/>
        </w:rPr>
        <w:t>RÉSULTATS DE L'ÉVALUATION D'UNE CAMPAGNE DE PRÉVENTION DES MALADIES SEXUELLEMENT TRANSMISSIBLES EN FRANC</w:t>
      </w:r>
      <w:r>
        <w:rPr>
          <w:rStyle w:val="Emphasis"/>
          <w:rFonts w:eastAsia="NSimSun" w:cs="Lucida Sans"/>
          <w:color w:val="auto"/>
          <w:kern w:val="2"/>
          <w:sz w:val="24"/>
          <w:szCs w:val="24"/>
          <w:lang w:val="fr-FR" w:eastAsia="zh-CN" w:bidi="hi-IN"/>
        </w:rPr>
        <w:t>E</w:t>
      </w:r>
      <w:r>
        <w:rPr/>
        <w:t> : résultats d’une enquête sur les MST menée en 1987. On y apprend surtout que le sujet, bien qu’il soit connu d’une grande majorité de la population est encore flou pour beaucoup des interrogés. Ce type d’enquêtes sur d’autres sujet pourraient permettre de voir quelle est la part de réactant informés et ceux qui ne font pas les choses car ils ne sont pas au courant. Ceci dit, SPF semble avoir réalisé énormément de questionnaires avec des méthodes statistiques fiables sur beaucoup de sujets liés à des campagnes de sensibilisation.</w:t>
      </w:r>
    </w:p>
    <w:p>
      <w:pPr>
        <w:pStyle w:val="Normal"/>
        <w:bidi w:val="0"/>
        <w:jc w:val="start"/>
        <w:rPr/>
      </w:pPr>
      <w:r>
        <w:rPr/>
      </w:r>
    </w:p>
    <w:p>
      <w:pPr>
        <w:pStyle w:val="Normal"/>
        <w:bidi w:val="0"/>
        <w:jc w:val="start"/>
        <w:rPr/>
      </w:pPr>
      <w:r>
        <w:rPr/>
        <w:t xml:space="preserve">Marie Poiseuil*, Guy Launoy* (guy.launoy@unicaen.fr), Gaëlle Coureau, Patricia Delafosse, Jean-Baptiste Nousbaum, Arnaud Seigneurin, Anne-Sophie Woronoff, Florence Molinié </w:t>
      </w:r>
      <w:r>
        <w:rPr/>
        <w:t>(2024) --</w:t>
      </w:r>
      <w:r>
        <w:rPr>
          <w:rStyle w:val="Emphasis"/>
          <w:rFonts w:eastAsia="NSimSun" w:cs="Lucida Sans"/>
          <w:color w:val="auto"/>
          <w:kern w:val="2"/>
          <w:sz w:val="24"/>
          <w:szCs w:val="24"/>
          <w:lang w:val="fr-FR" w:eastAsia="zh-CN" w:bidi="hi-IN"/>
        </w:rPr>
        <w:t>APPORT DES REGISTRES DE CANCERS DANS L’ÉVALUATION DU DÉPISTAGE DES CANCERS</w:t>
      </w:r>
      <w:r>
        <w:rPr/>
        <w:t xml:space="preserve"> : Dans cet article, santé publique France nous présente son évaluation des campagnes d’information et de dépistage des cancer en croisant les données du SNDS avec des données du CRCDC. Ils comparent le nombre de campagne d’information avec l’évolution des dépistages ainsi que la prise en charge des cancers. Ce qu’il faut retenir pour mon papier c’est qu’eux aussi, avancent qu’une politique publique bien construite améliore la part des gens qui accepte de se faire dépister. </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character" w:styleId="Emphasis">
    <w:name w:val="Emphasis"/>
    <w:qFormat/>
    <w:rPr>
      <w:i/>
      <w:iCs/>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TotalTime>
  <Application>LibreOffice/24.8.0.3$Windows_X86_64 LibreOffice_project/0bdf1299c94fe897b119f97f3c613e9dca6be583</Application>
  <AppVersion>15.0000</AppVersion>
  <Pages>2</Pages>
  <Words>1104</Words>
  <Characters>5863</Characters>
  <CharactersWithSpaces>6961</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2026-07-02T17:22:15Z</dcterms:created>
  <dc:creator/>
  <dc:description/>
  <dc:language>fr-FR</dc:language>
  <cp:lastModifiedBy/>
  <dcterms:modified xsi:type="dcterms:W3CDTF">2026-07-08T17:25:19Z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