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 E. Hanany, P. Klibanoff :  «</w:t>
      </w:r>
      <w:r>
        <w:rPr>
          <w:b/>
          <w:bCs/>
        </w:rPr>
        <w:t>Updating preferences with multiple priors</w:t>
      </w:r>
      <w:r>
        <w:rPr/>
        <w:t> » : Dans cet article les auteurs parlent de la prise de décision dans une situation d’ambiguïté et du paradoxe d’Ellsberg. Ils concluent simplement en disant que plus ou moins tous leurs modèles adoptent des lois de Bayes pour représenter ces décisions. Je n’y vois pas spécialement de point pour mon modèle mais je retiens les lois Bayesiennes au cas où.</w:t>
      </w:r>
    </w:p>
    <w:p>
      <w:pPr>
        <w:pStyle w:val="Normal"/>
        <w:bidi w:val="0"/>
        <w:jc w:val="start"/>
        <w:rPr/>
      </w:pPr>
      <w:r>
        <w:rPr/>
      </w:r>
    </w:p>
    <w:p>
      <w:pPr>
        <w:pStyle w:val="Normal"/>
        <w:bidi w:val="0"/>
        <w:jc w:val="start"/>
        <w:rPr/>
      </w:pPr>
      <w:r>
        <w:rPr/>
        <w:t>- L.Colombo, G. Femminis, A. Pavan : « </w:t>
      </w:r>
      <w:r>
        <w:rPr>
          <w:b/>
          <w:bCs/>
        </w:rPr>
        <w:t>Information acquisition and welfare</w:t>
      </w:r>
      <w:r>
        <w:rPr/>
        <w:t> » : Dans cet article, les auteurs parlent de l’inefficacité de l’équilibre des informations transmises aux agents. Ils mentionnent comme travaux futurs le fait de chercher si cette inefficacité est liée au moyen de communication (publicité par exemple). Cet article peut justifier le fait que Beta soit un paramètre qui modélise comment la campagne touche les agents. En fonction de chaque technique, on cherche à représenter qui sera touché et fera attention à celle-ci.</w:t>
      </w:r>
    </w:p>
    <w:p>
      <w:pPr>
        <w:pStyle w:val="Normal"/>
        <w:bidi w:val="0"/>
        <w:jc w:val="start"/>
        <w:rPr/>
      </w:pPr>
      <w:r>
        <w:rPr/>
      </w:r>
    </w:p>
    <w:p>
      <w:pPr>
        <w:pStyle w:val="Normal"/>
        <w:bidi w:val="0"/>
        <w:jc w:val="start"/>
        <w:rPr/>
      </w:pPr>
      <w:r>
        <w:rPr/>
        <w:t>- F. Nyabadza, C. Chiyaka, Z. Mukandavire, S. D. Hive-Musekwa : «</w:t>
      </w:r>
      <w:r>
        <w:rPr>
          <w:b/>
          <w:bCs/>
        </w:rPr>
        <w:t>ANALYSIS OF AN HIV/AIDS MODEL WITH PUBLIC-HEALTH INFORMATION CAMPAIGNS AND INDIVIDUAL WITHDRAWAL</w:t>
      </w:r>
      <w:r>
        <w:rPr/>
        <w:t> »: Dans cet article les auteurs étudient l’effet d’une campagne de sensibilisation sur la prévalence des cas de VIH. Leur modèle intègre un paramètre alpha qui mesure l’effet des campagnes. Ils tiennent compte aussi des personnes déjà atteintes qui n’ont plus de rapport et des autres facteurs explicatifs d’une baisse de transmission. Ils prouvent quand même qu’une campagne a bien un effet sur la population.</w:t>
      </w:r>
    </w:p>
    <w:p>
      <w:pPr>
        <w:pStyle w:val="Normal"/>
        <w:bidi w:val="0"/>
        <w:jc w:val="start"/>
        <w:rPr/>
      </w:pPr>
      <w:r>
        <w:rPr/>
      </w:r>
    </w:p>
    <w:p>
      <w:pPr>
        <w:pStyle w:val="Normal"/>
        <w:bidi w:val="0"/>
        <w:jc w:val="start"/>
        <w:rPr/>
      </w:pPr>
      <w:r>
        <w:rPr/>
        <w:t>- E. Kamenica : « </w:t>
      </w:r>
      <w:r>
        <w:rPr>
          <w:rFonts w:eastAsia="NSimSun" w:cs="Lucida Sans"/>
          <w:b/>
          <w:bCs/>
          <w:color w:val="auto"/>
          <w:kern w:val="2"/>
          <w:sz w:val="24"/>
          <w:szCs w:val="24"/>
          <w:lang w:val="fr-FR" w:eastAsia="zh-CN" w:bidi="hi-IN"/>
        </w:rPr>
        <w:t>Behavioral Economics and Psychology of Incentives</w:t>
      </w:r>
      <w:r>
        <w:rPr/>
        <w:t> » : Dans cet article l’auteur montre comment les mécanismes d’incitation mis en place sont parfois contreproductifs et comme le framing peut donner plus de résultat lors d’une prise de décision. Il vient justifier l’intérêt d’avoir un modèle de prédiction autour des agents qui acceptent de faire une action en fonction des différents types de mécanismes.</w:t>
      </w:r>
    </w:p>
    <w:p>
      <w:pPr>
        <w:pStyle w:val="Normal"/>
        <w:bidi w:val="0"/>
        <w:jc w:val="start"/>
        <w:rPr/>
      </w:pPr>
      <w:r>
        <w:rPr/>
      </w:r>
    </w:p>
    <w:p>
      <w:pPr>
        <w:pStyle w:val="Normal"/>
        <w:bidi w:val="0"/>
        <w:jc w:val="start"/>
        <w:rPr/>
      </w:pPr>
      <w:r>
        <w:rPr/>
        <w:t>- I. Gilboa, D. Schmeidler : « </w:t>
      </w:r>
      <w:r>
        <w:rPr>
          <w:rFonts w:eastAsia="NSimSun" w:cs="Lucida Sans"/>
          <w:b/>
          <w:bCs/>
          <w:color w:val="auto"/>
          <w:kern w:val="2"/>
          <w:sz w:val="24"/>
          <w:szCs w:val="24"/>
          <w:lang w:val="fr-FR" w:eastAsia="zh-CN" w:bidi="hi-IN"/>
        </w:rPr>
        <w:t>Updating Ambiguous Beliefs</w:t>
      </w:r>
      <w:r>
        <w:rPr/>
        <w:t> » (WP) : Un working paper autour des mise à jour de décision dans un cadre ambigu. Ici aussi, les auteurs font part de l’utilisation des lois bayesiennes en statistiques pour modéliser ces décisions. Faudrait-il considérer les lois bayésiennes dans les motivations des agents ?</w:t>
      </w:r>
    </w:p>
    <w:p>
      <w:pPr>
        <w:pStyle w:val="Normal"/>
        <w:bidi w:val="0"/>
        <w:jc w:val="start"/>
        <w:rPr/>
      </w:pPr>
      <w:r>
        <w:rPr/>
      </w:r>
    </w:p>
    <w:p>
      <w:pPr>
        <w:pStyle w:val="Normal"/>
        <w:bidi w:val="0"/>
        <w:jc w:val="start"/>
        <w:rPr/>
      </w:pPr>
      <w:r>
        <w:rPr/>
        <w:t>- L. De Castro, A. F. Galvao, D. Nunes :  « </w:t>
      </w:r>
      <w:r>
        <w:rPr>
          <w:rFonts w:eastAsia="NSimSun" w:cs="Lucida Sans"/>
          <w:b/>
          <w:bCs/>
          <w:color w:val="auto"/>
          <w:kern w:val="2"/>
          <w:sz w:val="24"/>
          <w:szCs w:val="24"/>
          <w:lang w:val="fr-FR" w:eastAsia="zh-CN" w:bidi="hi-IN"/>
        </w:rPr>
        <w:t>Dynamic economics with quantile preferences</w:t>
      </w:r>
      <w:r>
        <w:rPr/>
        <w:t> » : Les auteurs proposent un modèle de décision dans des conditions incertaines suivant une équation d’Euler. Je ne suis pas certain de l’intérêt pour mon projet mais il existe une notion de temporalité dans leurs travaux qui pourraient être intéressante pour le modèle dynamique.</w:t>
      </w:r>
    </w:p>
    <w:p>
      <w:pPr>
        <w:pStyle w:val="Normal"/>
        <w:bidi w:val="0"/>
        <w:jc w:val="start"/>
        <w:rPr/>
      </w:pPr>
      <w:r>
        <w:rPr/>
      </w:r>
    </w:p>
    <w:p>
      <w:pPr>
        <w:pStyle w:val="Normal"/>
        <w:bidi w:val="0"/>
        <w:jc w:val="start"/>
        <w:rPr/>
      </w:pPr>
      <w:r>
        <w:rPr/>
        <w:t>- L. B. Snyder : « </w:t>
      </w:r>
      <w:r>
        <w:rPr>
          <w:rFonts w:eastAsia="NSimSun" w:cs="Lucida Sans"/>
          <w:b/>
          <w:bCs/>
          <w:color w:val="auto"/>
          <w:kern w:val="2"/>
          <w:sz w:val="24"/>
          <w:szCs w:val="24"/>
          <w:lang w:val="fr-FR" w:eastAsia="zh-CN" w:bidi="hi-IN"/>
        </w:rPr>
        <w:t>Health Communication Campaigns and Their Impact on Behavior</w:t>
      </w:r>
      <w:r>
        <w:rPr/>
        <w:t> » : Un papier de plus qui vient confirmer l’intérêt des campagnes dans les questions sanitaires. L’auteure prouve qu’il existe bien un effet qui améliore les comportements. Cependant, elle n’est pas en mesure de la quantifier réellement. Elle mentionne aussi les facteurs d’influence comme les canaux de communication, la présentation de la campagne, le contenu etc.</w:t>
      </w:r>
    </w:p>
    <w:p>
      <w:pPr>
        <w:pStyle w:val="Normal"/>
        <w:bidi w:val="0"/>
        <w:jc w:val="start"/>
        <w:rPr/>
      </w:pPr>
      <w:r>
        <w:rPr/>
      </w:r>
    </w:p>
    <w:p>
      <w:pPr>
        <w:pStyle w:val="Normal"/>
        <w:bidi w:val="0"/>
        <w:jc w:val="start"/>
        <w:rPr/>
      </w:pPr>
      <w:r>
        <w:rPr/>
        <w:t>- G. C. Jacobson : « </w:t>
      </w:r>
      <w:r>
        <w:rPr>
          <w:rFonts w:eastAsia="NSimSun" w:cs="Lucida Sans"/>
          <w:b/>
          <w:bCs/>
          <w:color w:val="auto"/>
          <w:kern w:val="2"/>
          <w:sz w:val="24"/>
          <w:szCs w:val="24"/>
          <w:lang w:val="fr-FR" w:eastAsia="zh-CN" w:bidi="hi-IN"/>
        </w:rPr>
        <w:t>How Do Campaigns Matter?</w:t>
      </w:r>
      <w:r>
        <w:rPr/>
        <w:t> » : L’auteur travaille sur les questions de campagnes politiques et des effets de celles-ci sur les agents. Il conclue qu’elles ont un impact qui est de plus en plus mesurable grâce aux enquêtes qui permettent plus de méta-analyses. L’article date de 2014.</w:t>
      </w:r>
    </w:p>
    <w:p>
      <w:pPr>
        <w:pStyle w:val="Normal"/>
        <w:bidi w:val="0"/>
        <w:jc w:val="start"/>
        <w:rPr/>
      </w:pPr>
      <w:r>
        <w:rPr/>
      </w:r>
    </w:p>
    <w:p>
      <w:pPr>
        <w:pStyle w:val="Normal"/>
        <w:bidi w:val="0"/>
        <w:jc w:val="start"/>
        <w:rPr/>
      </w:pPr>
      <w:r>
        <w:rPr/>
        <w:t>- B. S. Frey : « </w:t>
      </w:r>
      <w:r>
        <w:rPr>
          <w:rFonts w:eastAsia="NSimSun" w:cs="Lucida Sans"/>
          <w:b/>
          <w:bCs/>
          <w:color w:val="auto"/>
          <w:kern w:val="2"/>
          <w:sz w:val="24"/>
          <w:szCs w:val="24"/>
          <w:lang w:val="fr-FR" w:eastAsia="zh-CN" w:bidi="hi-IN"/>
        </w:rPr>
        <w:t>How Intrinsic Motivation Is Crowded Out and In</w:t>
      </w:r>
      <w:r>
        <w:rPr/>
        <w:t> » : Dans cet article, l’auteur parle des effets de crowding in et crowding out engrangés par les politiques publiques. Il semblerait que celles-ci aient un impact sur la motivation des agents mais aussi sur leur volonté de faire des efforts. En tenant compte de ce papier, nous pouvons affirmer un lien étroit entre les politiques publiques et, à la fois, la motivation de l’agent et sa réactance. L’agent peut être pousser à faire moins d’effort, à rejoindre une cause s’il en est informé ou s’en retirer s’il a l’impression d’y être forcé. Il se pourrait aussi qu’un agent sorte du groupe acceptant l’action car il se sentait unique lorsqu’il était le seul à le faire mais lorsque tout le monde s’y mets, il préfère s’en retirer (crowding out).</w:t>
      </w:r>
    </w:p>
    <w:p>
      <w:pPr>
        <w:pStyle w:val="Normal"/>
        <w:bidi w:val="0"/>
        <w:jc w:val="start"/>
        <w:rPr/>
      </w:pPr>
      <w:r>
        <w:rPr/>
      </w:r>
    </w:p>
    <w:p>
      <w:pPr>
        <w:pStyle w:val="Normal"/>
        <w:bidi w:val="0"/>
        <w:jc w:val="start"/>
        <w:rPr/>
      </w:pPr>
      <w:r>
        <w:rPr/>
        <w:t>- R. Espinosa, J. Stoop : « </w:t>
      </w:r>
      <w:r>
        <w:rPr>
          <w:rFonts w:eastAsia="NSimSun" w:cs="Lucida Sans"/>
          <w:b/>
          <w:bCs/>
          <w:color w:val="auto"/>
          <w:kern w:val="2"/>
          <w:sz w:val="24"/>
          <w:szCs w:val="24"/>
          <w:lang w:val="fr-FR" w:eastAsia="zh-CN" w:bidi="hi-IN"/>
        </w:rPr>
        <w:t>Do People Really Want to Be Informed? Ex-ante Evaluations of Information-Campaign Effectiveness</w:t>
      </w:r>
      <w:r>
        <w:rPr/>
        <w:t> » : Dans cet article, les auteurs étudient les campagnes de sensibilisations au Royaume-Unis après des questionnaires auprès de 7000 personnes. Ils en ressortent que, bien que les agents acceptent plus facilement ce type de campagnes que des politiques publiques standard axées sur des taxes etc. il n’en reste pas moins que certains refusent l’information. Cet article nous permettrait de confirmer d’une part, l’impact des campagnes sur la motivation (bêta) mais aussi la confiance institutionnelle (T) puisqu’ils mesurent la part des agents qui refusent d’accorder de l’importance à une campagne ou qui l’a négligent volontairement car elle vient des pouvoirs publics.</w:t>
      </w:r>
    </w:p>
    <w:p>
      <w:pPr>
        <w:pStyle w:val="Normal"/>
        <w:bidi w:val="0"/>
        <w:jc w:val="start"/>
        <w:rPr/>
      </w:pPr>
      <w:r>
        <w:rPr/>
      </w:r>
    </w:p>
    <w:p>
      <w:pPr>
        <w:pStyle w:val="Normal"/>
        <w:bidi w:val="0"/>
        <w:jc w:val="start"/>
        <w:rPr/>
      </w:pPr>
      <w:r>
        <w:rPr/>
        <w:t>- R. Benabou, J. Tirole : « </w:t>
      </w:r>
      <w:r>
        <w:rPr>
          <w:rFonts w:eastAsia="NSimSun" w:cs="Lucida Sans"/>
          <w:b/>
          <w:bCs/>
          <w:color w:val="auto"/>
          <w:kern w:val="2"/>
          <w:sz w:val="24"/>
          <w:szCs w:val="24"/>
          <w:lang w:val="fr-FR" w:eastAsia="zh-CN" w:bidi="hi-IN"/>
        </w:rPr>
        <w:t>Intrinsic and Extrinsic Motivation</w:t>
      </w:r>
      <w:r>
        <w:rPr/>
        <w:t> » : Dans ce papier, les auteurs parlent des sources de motivations des agents (intrinsèques et extrinsèques). Ils notent que bien souvent, les politiques publiques ou campagnes mises en place sous estiment les capacités à prendre des décisions des agents. Ils montrent que chaque agent à une part de sa motivation qui lui est propre et qu’une autre est dépendante de son environnement (proches, altruisme, mimétisme…). On pourrait utiliser cet article pour justifier Vi0 =&gt; Intrinsèques et Vi(n) =&gt; extrinsèques.</w:t>
      </w:r>
    </w:p>
    <w:p>
      <w:pPr>
        <w:pStyle w:val="Normal"/>
        <w:bidi w:val="0"/>
        <w:jc w:val="start"/>
        <w:rPr/>
      </w:pPr>
      <w:r>
        <w:rPr/>
      </w:r>
    </w:p>
    <w:p>
      <w:pPr>
        <w:pStyle w:val="Normal"/>
        <w:bidi w:val="0"/>
        <w:jc w:val="start"/>
        <w:rPr/>
      </w:pPr>
      <w:r>
        <w:rPr/>
        <w:t>- S. Lindenberg : «</w:t>
      </w:r>
      <w:r>
        <w:rPr>
          <w:rFonts w:eastAsia="NSimSun" w:cs="Lucida Sans"/>
          <w:b/>
          <w:bCs/>
          <w:color w:val="auto"/>
          <w:kern w:val="2"/>
          <w:sz w:val="24"/>
          <w:szCs w:val="24"/>
          <w:lang w:val="fr-FR" w:eastAsia="zh-CN" w:bidi="hi-IN"/>
        </w:rPr>
        <w:t> Intrinsic Motivation in a New Light</w:t>
      </w:r>
      <w:r>
        <w:rPr/>
        <w:t> » : première phrase bien sentie : « Extra rewards will increase and extra costs will decrease the frequency of a particular type of behavior. ». Cet article parle des avancées sur la question des motivations intrinsèques dans la psychologie et les sciences sociales. L’auteur parle surtout des effets du framing comme « tendance » dans ce domaine. Il mentionne aussi les éléments intrinsèques tel que le bonheur retiré d’une action, le bien être retiré etc. Cela vient plus ou moins justifier le fait que chaque individu a bien une motivation propre de base qui dépend de sa perception d’une action (donc de ce qu’une politique publique ou une campagne) peut lui apporter. (n et bêta).</w:t>
      </w:r>
    </w:p>
    <w:p>
      <w:pPr>
        <w:pStyle w:val="Normal"/>
        <w:bidi w:val="0"/>
        <w:jc w:val="start"/>
        <w:rPr/>
      </w:pPr>
      <w:r>
        <w:rPr/>
      </w:r>
    </w:p>
    <w:p>
      <w:pPr>
        <w:pStyle w:val="Normal"/>
        <w:bidi w:val="0"/>
        <w:jc w:val="start"/>
        <w:rPr/>
      </w:pPr>
      <w:r>
        <w:rPr/>
        <w:t xml:space="preserve">- </w:t>
      </w:r>
      <w:r>
        <w:rPr/>
        <w:t>H. Lee, D. Albarracin : « </w:t>
      </w:r>
      <w:r>
        <w:rPr>
          <w:b/>
          <w:bCs/>
        </w:rPr>
        <w:t>Changing beliefs or changing behavior? Understanding the belief-to-behavior process and intervening to curb the impact of misinformation</w:t>
      </w:r>
      <w:r>
        <w:rPr/>
        <w:t xml:space="preserve"> » : </w:t>
      </w:r>
      <w:r>
        <w:rPr/>
        <w:t>Dans cet article, on apprend que les comportements peuvent être guidés par les croyances des agents. Qu’en fonction des questions et des campagnes mises en place, on peut influencer les croyances pour ensuite influencer les comportements. Ce que j’en retire pour mes travaux est simplement que Vi0 est dépendant des croyances de chaque individu (donc peut suivre une loi normale) mais qu’en revanche, l’impact des croyances sur le comportement et l’effet des politiques publiques sur celles-ci est représenté dans Vi(n) par bêta et delta.</w:t>
      </w:r>
    </w:p>
    <w:p>
      <w:pPr>
        <w:pStyle w:val="Normal"/>
        <w:bidi w:val="0"/>
        <w:jc w:val="start"/>
        <w:rPr/>
      </w:pPr>
      <w:r>
        <w:rPr/>
      </w:r>
    </w:p>
    <w:p>
      <w:pPr>
        <w:pStyle w:val="Normal"/>
        <w:bidi w:val="0"/>
        <w:jc w:val="start"/>
        <w:rPr/>
      </w:pPr>
      <w:r>
        <w:rPr/>
        <w:t xml:space="preserve">- </w:t>
      </w:r>
      <w:r>
        <w:rPr/>
        <w:t>A. Blackman, B. Hoffmann : « </w:t>
      </w:r>
      <w:r>
        <w:rPr>
          <w:b/>
          <w:bCs/>
        </w:rPr>
        <w:t>Diminishing returns: Nudging Covid-19 prevention among Colombian young adults</w:t>
      </w:r>
      <w:r>
        <w:rPr/>
        <w:t xml:space="preserve"> » : </w:t>
      </w:r>
      <w:r>
        <w:rPr/>
        <w:t>Dans cette étude menée sur des étudiants colombien pendant la crise du COVID 19, les auteurs ont cherché à mesurer l’impact des campagnes (nudges) de sensibilisation sur les gestes barrières et la part des personnes qui les suivent en fonction de différents critère. Ce que je retiens c’est surtout qu’il existe un effet sur la durée. Plus une campagne est martelée longtemps plus l’impact sera visible mais au bout d’un moment, il arrive qu’une partie s’accommode de ces messages et ne suivent plus les recommandations. Ils précisent aussi, que les étudiants affichés à gauche politiquement étaient plus à même de poursuivre les recommandations que les autres.</w:t>
      </w:r>
    </w:p>
    <w:p>
      <w:pPr>
        <w:pStyle w:val="Normal"/>
        <w:bidi w:val="0"/>
        <w:jc w:val="start"/>
        <w:rPr/>
      </w:pPr>
      <w:r>
        <w:rPr/>
      </w:r>
    </w:p>
    <w:p>
      <w:pPr>
        <w:pStyle w:val="Normal"/>
        <w:bidi w:val="0"/>
        <w:jc w:val="start"/>
        <w:rPr/>
      </w:pPr>
      <w:r>
        <w:rPr/>
        <w:t xml:space="preserve">- </w:t>
      </w:r>
      <w:r>
        <w:rPr/>
        <w:t>D. M. Kreps :  « </w:t>
      </w:r>
      <w:r>
        <w:rPr>
          <w:b/>
          <w:bCs/>
        </w:rPr>
        <w:t>Intrinsic Motivation and Extrinsic Incentives</w:t>
      </w:r>
      <w:r>
        <w:rPr/>
        <w:t xml:space="preserve"> » : </w:t>
      </w:r>
      <w:r>
        <w:rPr/>
        <w:t>Dans cet article, l’auteur parle des motivations intrinsèques et des incitations extrinsèques dans le cadre du travail. Il défini la motivation intrinsèque comme un ensemble de raisons qui poussent l’individu à agir sans avoir forcément eu de coup de pousse externe. Par exemple, le salaire est une incitation tandis que avoir l’estime de ses collègues est une raison de motivation. Les incitations ont pour but, selon l’auteur, de diminuer au maximum les efforts à faire pour les agents. Il parle aussi des modèles de l’agence pour justifier cela. Ce qu’on retiendra pour mon modèle c’est surtout la notion d’incitation externe qui vient modifier la motivation. Vi0 reste la motivation intrinsèque tandis que DeltaV et l’ensemble de l’expression de Vi(n) ressemble plus aux modifications apportées par une politique publique et des éléments externes.</w:t>
      </w:r>
    </w:p>
    <w:p>
      <w:pPr>
        <w:pStyle w:val="Normal"/>
        <w:bidi w:val="0"/>
        <w:jc w:val="start"/>
        <w:rPr/>
      </w:pPr>
      <w:r>
        <w:rPr/>
      </w:r>
    </w:p>
    <w:p>
      <w:pPr>
        <w:pStyle w:val="Normal"/>
        <w:bidi w:val="0"/>
        <w:jc w:val="start"/>
        <w:rPr/>
      </w:pPr>
      <w:r>
        <w:rPr/>
        <w:t xml:space="preserve">- </w:t>
      </w:r>
      <w:r>
        <w:rPr/>
        <w:t>J. Sobel : « </w:t>
      </w:r>
      <w:r>
        <w:rPr>
          <w:b/>
          <w:bCs/>
        </w:rPr>
        <w:t>Economists' Models of Learning </w:t>
      </w:r>
      <w:r>
        <w:rPr/>
        <w:t xml:space="preserve">» : </w:t>
      </w:r>
      <w:r>
        <w:rPr/>
        <w:t>Dans cet article, il est question des modèles d’apprentissage en économie sur les agents. L’auteur rappelle que dans la plupart des cas, les agents sont considérés avec des préférences suivant une loi de Bayes. ET qu’ensuite, en fonction de leur environnement et des informations à disposition, ils apprennent pour ajuster leurs décisions. Cependant, il note bien la nécessiter de préciser les préférences de bases des agents avant toutes modification liée à un apprentissage. Dans notre cas, la campagne elle même constitue une forme d’apprentissage. On est à la fois sur le modèle statique avec l’existence de Vi(n) mais aussi, sur l’évolution vers un modèle dynamique. J’ai peur que notre approche statique propose une vision ambiguë embarquant à la fois les croyances et motivations en t0 des agents et aussi en t1 avec les informations des campagnes/politiques publiques.</w:t>
      </w:r>
    </w:p>
    <w:p>
      <w:pPr>
        <w:pStyle w:val="Normal"/>
        <w:bidi w:val="0"/>
        <w:jc w:val="start"/>
        <w:rPr/>
      </w:pPr>
      <w:r>
        <w:rPr/>
      </w:r>
    </w:p>
    <w:p>
      <w:pPr>
        <w:pStyle w:val="Normal"/>
        <w:bidi w:val="0"/>
        <w:jc w:val="start"/>
        <w:rPr/>
      </w:pPr>
      <w:r>
        <w:rPr/>
        <w:t xml:space="preserve">- </w:t>
      </w:r>
      <w:r>
        <w:rPr/>
        <w:t>D. Ticu : « </w:t>
      </w:r>
      <w:r>
        <w:rPr>
          <w:b/>
          <w:bCs/>
        </w:rPr>
        <w:t>Theories of Motivation in Public Policies Process</w:t>
      </w:r>
      <w:r>
        <w:rPr/>
        <w:t xml:space="preserve"> » : </w:t>
      </w:r>
      <w:r>
        <w:rPr/>
        <w:t>Dans cet article, il est plus question du decision-maker que des individus. Cependant, il est mentionné qu’il est important de connaître le canal par lequel les agents seront influencés pour optimiser sa campagnes/politique publique. Autrement dit, des politiques publiques visant les motivations intrinsèques des agents seront plus adaptées à certaines situation tandis que d’autres, plus axées sur les incitations extrinsèques seront plus optimales dans d’autres situations. On a rien de spécial pour notre modèle mais une justification de l’intérêt de distinguer motivation intrinsèque et effets des incitations extrinsèques.</w:t>
      </w:r>
    </w:p>
    <w:p>
      <w:pPr>
        <w:pStyle w:val="Normal"/>
        <w:bidi w:val="0"/>
        <w:jc w:val="start"/>
        <w:rPr/>
      </w:pPr>
      <w:r>
        <w:rPr/>
      </w:r>
    </w:p>
    <w:p>
      <w:pPr>
        <w:pStyle w:val="Normal"/>
        <w:bidi w:val="0"/>
        <w:jc w:val="start"/>
        <w:rPr/>
      </w:pPr>
      <w:r>
        <w:rPr/>
        <w:t xml:space="preserve">- </w:t>
      </w:r>
      <w:r>
        <w:rPr/>
        <w:t>M. A. Wakefield, B. Loken, R. C. Hornick : « </w:t>
      </w:r>
      <w:r>
        <w:rPr>
          <w:b/>
          <w:bCs/>
        </w:rPr>
        <w:t>Use of mass media campaigns to change health behaviour</w:t>
      </w:r>
      <w:r>
        <w:rPr/>
        <w:t xml:space="preserve"> » : </w:t>
      </w:r>
      <w:r>
        <w:rPr/>
        <w:t>Un article au titre très vendeur mais qui finalement n’apportera pas grand-chose car il fait simplement un tour d’horizon des campagnes de sensibilisations dans la santé en Australie. Les auteurs concluent simplement que ces campagnes ont permis de limiter les comportements négatifs et parfois, ont permis d’entraîner des comportements positifs. Ils prouvent une fois de plus, la pertinence des campagnes et l’importance du framing et des canaux de communication.</w:t>
      </w:r>
    </w:p>
    <w:p>
      <w:pPr>
        <w:pStyle w:val="Normal"/>
        <w:bidi w:val="0"/>
        <w:jc w:val="start"/>
        <w:rPr/>
      </w:pPr>
      <w:r>
        <w:rPr/>
      </w:r>
    </w:p>
    <w:p>
      <w:pPr>
        <w:pStyle w:val="Normal"/>
        <w:bidi w:val="0"/>
        <w:jc w:val="start"/>
        <w:rPr/>
      </w:pPr>
      <w:r>
        <w:rPr/>
        <w:t xml:space="preserve">- </w:t>
      </w:r>
      <w:r>
        <w:rPr/>
        <w:t>T. Kube, M. Wullenkord, L. Rozenkrantz, P. Kramer, S. Lieb, C. Menzel : « </w:t>
      </w:r>
      <w:r>
        <w:rPr>
          <w:b/>
          <w:bCs/>
        </w:rPr>
        <w:t>How people update their beliefs about climate change: An experimental investigation of the optimistic update bias and how to reduce it</w:t>
      </w:r>
      <w:r>
        <w:rPr/>
        <w:t xml:space="preserve"> » : </w:t>
      </w:r>
      <w:r>
        <w:rPr/>
        <w:t>Dans cet article, les auteurs étudient sur une population test, l’impact d’une campagne sur le changement climatique afin de modéliser la manière dont les gens apprennent. Ils en ressortent que ‘dune manière générale, les campagnes influencent beaucoup les opinions mais surtout que (dans le cas du changement climatique) les individus semblent plus réceptifs aux mauvais nouvelles qu’aux bonnes. Ils enregistrent plus facilement des contenus pessimistes que des nouvelles optimistes. Pour mon travail, je n’y vois pas encore forcément d’intérêt mais c’est sympa à savoir.</w:t>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fr-FR" w:eastAsia="zh-CN" w:bidi="hi-IN"/>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309</TotalTime>
  <Application>LibreOffice/24.8.0.3$Windows_X86_64 LibreOffice_project/0bdf1299c94fe897b119f97f3c613e9dca6be583</Application>
  <AppVersion>15.0000</AppVersion>
  <Pages>3</Pages>
  <Words>1875</Words>
  <Characters>9860</Characters>
  <CharactersWithSpaces>11719</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2026-08-02T16:20:17Z</dcterms:created>
  <dc:creator/>
  <dc:description/>
  <dc:language>fr-FR</dc:language>
  <cp:lastModifiedBy/>
  <dcterms:modified xsi:type="dcterms:W3CDTF">2026-08-04T16:10:00Z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