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58D86" w14:textId="77777777" w:rsidR="00A847FA" w:rsidRDefault="009F33B0">
      <w:pPr>
        <w:pStyle w:val="Titre"/>
        <w:rPr>
          <w:rFonts w:hint="eastAsia"/>
        </w:rPr>
      </w:pPr>
      <w:r>
        <w:rPr>
          <w:sz w:val="32"/>
          <w:szCs w:val="32"/>
        </w:rPr>
        <w:t>Réactance psychologique et limites structurelles des politiques publiques</w:t>
      </w:r>
    </w:p>
    <w:p w14:paraId="70D34B42" w14:textId="77777777" w:rsidR="00A847FA" w:rsidRDefault="009F33B0">
      <w:pPr>
        <w:pStyle w:val="Titre2"/>
        <w:rPr>
          <w:rFonts w:hint="eastAsia"/>
        </w:rPr>
      </w:pPr>
      <w:r>
        <w:t>Contexte</w:t>
      </w:r>
    </w:p>
    <w:p w14:paraId="74FB0D4C" w14:textId="77777777" w:rsidR="00A847FA" w:rsidRDefault="009F33B0">
      <w:pPr>
        <w:pStyle w:val="Textbody"/>
        <w:rPr>
          <w:rFonts w:hint="eastAsia"/>
        </w:rPr>
      </w:pPr>
      <w:r>
        <w:t>Les politiques publiques mobilisent depuis longtemps un large éventail d’instruments visant à orienter les comportements individuels dans un sens jugé socialement désirable. Une grande majorité de celles-ci sont fondées sur des règles contraignantes assorties de sanctions ou d’incitations financières explicites. Il existe aussi des approches mettant en œuvre des mécanismes issus de la recherche en sciences comportementales qui s’appuient sur les biais cognitifs des agents pour les guider sans les contraindre vers une action : les Nudges ou paternalisme libertarien.</w:t>
      </w:r>
    </w:p>
    <w:p w14:paraId="5E3A1338" w14:textId="77777777" w:rsidR="00A847FA" w:rsidRDefault="009F33B0">
      <w:pPr>
        <w:pStyle w:val="Textbody"/>
        <w:rPr>
          <w:rFonts w:hint="eastAsia"/>
        </w:rPr>
      </w:pPr>
      <w:r>
        <w:t>Toutefois, quelle que soit la solution envisagée, il apparaît toujours qu’une partie de la population ne suit pas les politiques qui leur sont suggérées ou imposées, peu importe si celles-ci visent à augmenter le bien-être global ou même la qualité de vie de chaque individu. Chaque personne a ses propres raisons de ne pas suivre des recommandations. Celles-ci peuvent être regroupées dans une seule notion qui s’appelle la « réactance » et qui a été introduite par Brehm en 1966. Plusieurs exemples peuvent être pris pour illustrer cela :</w:t>
      </w:r>
    </w:p>
    <w:p w14:paraId="750039DC" w14:textId="77777777" w:rsidR="00A847FA" w:rsidRDefault="009F33B0">
      <w:pPr>
        <w:pStyle w:val="Textbody"/>
        <w:rPr>
          <w:rFonts w:hint="eastAsia"/>
        </w:rPr>
      </w:pPr>
      <w:r>
        <w:t>- Depuis le 1</w:t>
      </w:r>
      <w:r>
        <w:rPr>
          <w:vertAlign w:val="superscript"/>
        </w:rPr>
        <w:t>er</w:t>
      </w:r>
      <w:r>
        <w:t xml:space="preserve"> janvier 2017, chaque français est considéré par défaut comme donneur d’organes. Cependant, une frange de l’ordre de 20 % de la population fait encore la démarche de se déclarer non-donneur que ce soit pour des raisons personnelles, des croyances ou des convictions.</w:t>
      </w:r>
    </w:p>
    <w:p w14:paraId="24B8AA0E" w14:textId="77777777" w:rsidR="00A847FA" w:rsidRDefault="009F33B0">
      <w:pPr>
        <w:pStyle w:val="Textbody"/>
        <w:rPr>
          <w:rFonts w:hint="eastAsia"/>
        </w:rPr>
      </w:pPr>
      <w:r>
        <w:t>- La crise du COVID-19 a également mis en évidence l’existence d’une hétérogénéité importante dans l’acceptation des politiques vaccinales.</w:t>
      </w:r>
    </w:p>
    <w:p w14:paraId="5B609BBF" w14:textId="77777777" w:rsidR="00A847FA" w:rsidRDefault="009F33B0">
      <w:pPr>
        <w:pStyle w:val="Textbody"/>
        <w:rPr>
          <w:rFonts w:hint="eastAsia"/>
        </w:rPr>
      </w:pPr>
      <w:r>
        <w:t>- Les dépistages organisés (cancer colorectal, sein, HPV…) sont gratuits et de plus en plus simple à réaliser pour le patient. Il ne parviennent pas non plus à rassembler l’ensemble de la population. Il en va de même pour les recommandations alimentaires. Plusieurs mécanismes incitatifs sont là pour aider à mieux consommer. Pourtant, bien que ces mesures aient été mis en place pour améliorer la qualité de vie des usagers, elles ne font pas l’unanimité.</w:t>
      </w:r>
    </w:p>
    <w:p w14:paraId="2443E53A" w14:textId="77777777" w:rsidR="00A847FA" w:rsidRDefault="009F33B0">
      <w:pPr>
        <w:pStyle w:val="Textbody"/>
        <w:rPr>
          <w:rFonts w:hint="eastAsia"/>
        </w:rPr>
      </w:pPr>
      <w:r>
        <w:t>- Il est de plus en plus simple d’utiliser la télémédecine sur les territoires. Le déploiement d’internet, la réduction des zones blanches et l’amélioration des services ne suffisent pas encore à garantir une adoption totale de ces outils.</w:t>
      </w:r>
    </w:p>
    <w:p w14:paraId="5BBD98B1" w14:textId="77777777" w:rsidR="00A847FA" w:rsidRDefault="009F33B0">
      <w:pPr>
        <w:pStyle w:val="Textbody"/>
        <w:rPr>
          <w:rFonts w:hint="eastAsia"/>
        </w:rPr>
      </w:pPr>
      <w:r>
        <w:t>- Des mesures ont été mises en place en région pour limiter l’engorgement des services d’urgences avec un filtrage des patients par les centres d’appels du 15 et des campagnes de sensibilisation. Nous constatons encore une part forte de passages peu graves et qui viennent surcharger les équipes en journée. Une étude récente à montrer que les SU souffrent de ces passages qui interviennent en général le matin avant 10h et qui concernent pour 80 % d’entre eux, des pathologies bénignes et des retours quasi instantanés à domicile. Les patients, conscients du temps d’attente auxquels ils vont faire face aux urgences et les campagnes ayant été déployées, nous pourrions légitimement penser que ce type de passage diminue mais ce n’est pas ce que nous observons dans les données.</w:t>
      </w:r>
    </w:p>
    <w:p w14:paraId="1397A81A" w14:textId="77777777" w:rsidR="00A847FA" w:rsidRDefault="009F33B0">
      <w:pPr>
        <w:pStyle w:val="Textbody"/>
        <w:rPr>
          <w:rFonts w:hint="eastAsia"/>
        </w:rPr>
      </w:pPr>
      <w:r>
        <w:t>Il apparaît difficile d’observer une adhésion complète et homogène à une politique publique au sein d’une population. Par conséquent, la question qui se pose n’est pas de savoir comment réussir à inciter tout le monde mais plutôt : Comment calibrer une politique publique afin de maximiser l’adoption sans déclencher excessivement la réactance ?</w:t>
      </w:r>
    </w:p>
    <w:p w14:paraId="3C18B334" w14:textId="77777777" w:rsidR="00A847FA" w:rsidRDefault="009F33B0">
      <w:pPr>
        <w:pStyle w:val="Titre2"/>
        <w:rPr>
          <w:rFonts w:hint="eastAsia"/>
        </w:rPr>
      </w:pPr>
      <w:r>
        <w:lastRenderedPageBreak/>
        <w:t>La littérature</w:t>
      </w:r>
    </w:p>
    <w:p w14:paraId="1A9FAFDA" w14:textId="77777777" w:rsidR="00A847FA" w:rsidRDefault="009F33B0">
      <w:pPr>
        <w:pStyle w:val="Textbody"/>
        <w:rPr>
          <w:rFonts w:hint="eastAsia"/>
        </w:rPr>
      </w:pPr>
      <w:r>
        <w:rPr>
          <w:rStyle w:val="StrongEmphasis"/>
          <w:b w:val="0"/>
          <w:bCs w:val="0"/>
        </w:rPr>
        <w:t xml:space="preserve">De nombreux travaux ont, tentés de modéliser et de comprendre tout ou partie des biais qui viennent perturber le bon fonctionnement des politiques publiques. Par exemple, nous supposons que les individus ne maximisent pas uniquement une utilité matérielle, mais cherchent également à agir en cohérence avec une image de soi ou une appartenance sociale donnée (Akerlof et Kranton). Dans cette perspective, suivre une recommandation externe peut être perçu comme incompatible avec certaines identités, réduisant ainsi l’attrait de l’action proposée. D’autres contributions soulignent le rôle des incitations et de la réputation dans les comportements prosociaux : une intervention externe peut modifier la signification morale d’une action et en réduire la motivation intrinsèque, phénomène souvent qualifié de </w:t>
      </w:r>
      <w:r>
        <w:rPr>
          <w:rStyle w:val="Accentuation"/>
        </w:rPr>
        <w:t>crowding-out</w:t>
      </w:r>
      <w:r>
        <w:rPr>
          <w:rStyle w:val="StrongEmphasis"/>
          <w:b w:val="0"/>
          <w:bCs w:val="0"/>
        </w:rPr>
        <w:t xml:space="preserve"> (Bénabou et Tirole). Enfin, des travaux expérimentaux mettent en évidence qu’une simple incitation peut être interprétée négativement par un agent pour qui la liberté de choix est importante. Toute forme de contrôle représente un coût supplémentaire qui vient contrebalancer les bénéfices retirés d’un acte ou d’une décision (Falk et Kosfeld).</w:t>
      </w:r>
    </w:p>
    <w:p w14:paraId="7B2A0F7D" w14:textId="77777777" w:rsidR="00A847FA" w:rsidRDefault="009F33B0">
      <w:pPr>
        <w:pStyle w:val="Textbody"/>
        <w:rPr>
          <w:rFonts w:hint="eastAsia"/>
        </w:rPr>
      </w:pPr>
      <w:r>
        <w:t xml:space="preserve">Plus récemment, Lowenstein et Chater font état de l’approche individualiste de certaines politiques publiques comme les Nudges. Ils présentent ce type d’outils comme des mécanismes qui responsabilisent trop les agents sans pour autant, leur expliquer en quoi leur décision à un impact à une échelle plus grande. C’est la différence entre ce qu’ils appellent le i-frame (pour individuel, qui culpabilise plus l’agent qu’autre chose) et le s-frame (pour système, qui donne les raisons du besoin de changement systémique et qui impacte la société dans son ensemble et plus seulement les agents un à un). L’ensemble de ces travaux converge vers une idée commune : </w:t>
      </w:r>
      <w:r>
        <w:rPr>
          <w:rStyle w:val="StrongEmphasis"/>
          <w:b w:val="0"/>
          <w:bCs w:val="0"/>
        </w:rPr>
        <w:t>les interventions comportementales peuvent générer des coûts psychologiques endogènes, induits par l’intervention elle-même</w:t>
      </w:r>
      <w:r>
        <w:t>, et non uniquement par l’action recommandée.</w:t>
      </w:r>
    </w:p>
    <w:p w14:paraId="17A131B0" w14:textId="77777777" w:rsidR="00A847FA" w:rsidRDefault="009F33B0">
      <w:pPr>
        <w:pStyle w:val="Textbody"/>
        <w:rPr>
          <w:rFonts w:hint="eastAsia"/>
        </w:rPr>
      </w:pPr>
      <w:r>
        <w:t>Tous ces freins au bon fonctionnement des politiques publiques peuvent être intégrer à la notion de réactance introduite par Brehm en 1966 et qui représente les motivations pour lesquelles des agents pourraient être amenés à ne pas se conformer à certaines actions. Cette notion de réactance nous permet d’affirmer que ces agents restent rationnels au sens de la maximisation d’une utilité élargie. Ces coûts apparaissent comme rationnels si nous considérons que chaque agent d’une population avec des préférences hétérogènes, cherche à maximiser son utilité en prenant en compte tous les éléments exogènes.</w:t>
      </w:r>
    </w:p>
    <w:p w14:paraId="1DFBE968" w14:textId="77777777" w:rsidR="00A847FA" w:rsidRDefault="009F33B0">
      <w:pPr>
        <w:pStyle w:val="Textbody"/>
        <w:rPr>
          <w:rFonts w:hint="eastAsia"/>
        </w:rPr>
      </w:pPr>
      <w:r>
        <w:t>Tous ces travaux ont permis de mettre en lumière différents problèmes pouvant affecter les politiques publiques. À notre connaissance, il n’existe pas de cadre formel unifié permettant d’analyser conjointement identité, contrôle perçu et réactance dans l’évaluation de l’efficacité des politiques publiques. Il nous paraît pertinent de joindre l’aspect psychologique qui altèrent les coûts liés à une décision dans une population et l’aspect économique sur la pertinence et la réussite d’une telle politique.</w:t>
      </w:r>
    </w:p>
    <w:p w14:paraId="643604A9" w14:textId="77777777" w:rsidR="00A847FA" w:rsidRDefault="009F33B0">
      <w:pPr>
        <w:pStyle w:val="Titre2"/>
        <w:rPr>
          <w:rFonts w:hint="eastAsia"/>
        </w:rPr>
      </w:pPr>
      <w:r>
        <w:t>Contribution</w:t>
      </w:r>
    </w:p>
    <w:p w14:paraId="075DA4FC" w14:textId="77777777" w:rsidR="00A847FA" w:rsidRDefault="009F33B0">
      <w:pPr>
        <w:pStyle w:val="Textbody"/>
        <w:rPr>
          <w:rFonts w:hint="eastAsia"/>
        </w:rPr>
      </w:pPr>
      <w:r>
        <w:t>Dans ce projet, nous proposons un modèle formel autour des décisions des agents en intégrant la réactance comme fonction liée à l’autonomie et à la confiance institutionnelle. Les agents sont hétérogènes dans leur sensibilité aux coûts liés à une politique publique, lequel dépend notamment de l’intensité de l’intervention et de facteurs institutionnels tels que la confiance.</w:t>
      </w:r>
    </w:p>
    <w:p w14:paraId="2E8F0601" w14:textId="77777777" w:rsidR="00A847FA" w:rsidRDefault="009F33B0">
      <w:pPr>
        <w:pStyle w:val="Textbody"/>
        <w:rPr>
          <w:rFonts w:hint="eastAsia"/>
        </w:rPr>
      </w:pPr>
      <w:r>
        <w:lastRenderedPageBreak/>
        <w:t xml:space="preserve">A travers ce modèle, nous montrons comment réagit un groupe en fonction de la force de la réactance et des éléments qui l’a compose, ainsi, nous observons l’application et les probabilités de réussite d’une politique publique. </w:t>
      </w:r>
      <w:r w:rsidRPr="00DE61C9">
        <w:rPr>
          <w:highlight w:val="yellow"/>
        </w:rPr>
        <w:t xml:space="preserve">Nous mobilisons ensuite le modèle dans un cadre de </w:t>
      </w:r>
      <w:commentRangeStart w:id="0"/>
      <w:r w:rsidRPr="00DE61C9">
        <w:rPr>
          <w:highlight w:val="yellow"/>
          <w:u w:val="single"/>
        </w:rPr>
        <w:t>la théorie des jeux</w:t>
      </w:r>
      <w:commentRangeEnd w:id="0"/>
      <w:r w:rsidR="004715B2" w:rsidRPr="00DE61C9">
        <w:rPr>
          <w:rStyle w:val="Marquedecommentaire"/>
          <w:sz w:val="24"/>
          <w:szCs w:val="24"/>
          <w:highlight w:val="yellow"/>
        </w:rPr>
        <w:commentReference w:id="0"/>
      </w:r>
      <w:r w:rsidRPr="00DE61C9">
        <w:rPr>
          <w:highlight w:val="yellow"/>
        </w:rPr>
        <w:t xml:space="preserve"> afin d’analyser l’interaction entre une autorité publique et une population d’agents hétérogènes.</w:t>
      </w:r>
    </w:p>
    <w:p w14:paraId="3FE61F84" w14:textId="77777777" w:rsidR="00A847FA" w:rsidRDefault="009F33B0">
      <w:pPr>
        <w:pStyle w:val="Textbody"/>
        <w:rPr>
          <w:rFonts w:hint="eastAsia"/>
        </w:rPr>
      </w:pPr>
      <w:r>
        <w:t>Ces résultats apportent des implications importantes pour la conception des politiques publiques et invitent à repenser le rôle et les limites des politiques publiques dans des contextes caractérisés par une forte hétérogénéité des préférences et des perceptions.</w:t>
      </w:r>
    </w:p>
    <w:p w14:paraId="7A53EBE8" w14:textId="06599D7C" w:rsidR="00A847FA" w:rsidRDefault="009F33B0">
      <w:pPr>
        <w:pStyle w:val="Textbody"/>
        <w:rPr>
          <w:rFonts w:hint="eastAsia"/>
        </w:rPr>
      </w:pPr>
      <w:r>
        <w:t xml:space="preserve">Le but serait de proposer des moyens d’amélioration dans </w:t>
      </w:r>
      <w:r w:rsidR="00DE61C9">
        <w:t xml:space="preserve">la </w:t>
      </w:r>
      <w:r>
        <w:t xml:space="preserve">conception des interventions comportementales par l'intégration des mécanismes de réactance et d’optimiser les actions </w:t>
      </w:r>
      <w:r w:rsidR="00DE61C9" w:rsidRPr="00DE61C9">
        <w:rPr>
          <w:highlight w:val="yellow"/>
        </w:rPr>
        <w:t>d’un gouvernement ou régulateur</w:t>
      </w:r>
      <w:r w:rsidR="00DE61C9">
        <w:t xml:space="preserve"> </w:t>
      </w:r>
      <w:r>
        <w:t>en prédisant la réactance dans la population en fonction des campagnes menées et du cadre institutionnel dans lequel celles-ci s’inscrivent.</w:t>
      </w:r>
    </w:p>
    <w:p w14:paraId="008E2523" w14:textId="77777777" w:rsidR="00A847FA" w:rsidRDefault="009F33B0">
      <w:pPr>
        <w:pStyle w:val="Textbody"/>
      </w:pPr>
      <w:r>
        <w:t>Le projet propose un cadre théorique unifié permettant de modéliser simultanément les effets matériels et psychologiques des politiques publiques comportementales.</w:t>
      </w:r>
    </w:p>
    <w:p w14:paraId="31A8CF3A" w14:textId="77777777" w:rsidR="00B90FCD" w:rsidRDefault="00B90FCD">
      <w:pPr>
        <w:pStyle w:val="Textbody"/>
        <w:rPr>
          <w:rFonts w:hint="eastAsia"/>
        </w:rPr>
      </w:pPr>
    </w:p>
    <w:p w14:paraId="68335AF2" w14:textId="77777777" w:rsidR="00A847FA" w:rsidRDefault="009F33B0">
      <w:pPr>
        <w:pStyle w:val="Titre2"/>
        <w:rPr>
          <w:rFonts w:hint="eastAsia"/>
        </w:rPr>
      </w:pPr>
      <w:r>
        <w:t>Modèle</w:t>
      </w:r>
    </w:p>
    <w:p w14:paraId="1534EEB4" w14:textId="77777777" w:rsidR="00A847FA" w:rsidRDefault="009F33B0">
      <w:pPr>
        <w:pStyle w:val="Standard"/>
        <w:rPr>
          <w:rFonts w:hint="eastAsia"/>
        </w:rPr>
      </w:pPr>
      <w:r>
        <w:t xml:space="preserve">Nous posons un jeu dans lequel un agent </w:t>
      </w:r>
      <w:r>
        <w:rPr>
          <w:i/>
          <w:iCs/>
        </w:rPr>
        <w:t>i</w:t>
      </w:r>
      <w:r>
        <w:t xml:space="preserve"> a le choix d’effectuer une action </w:t>
      </w:r>
      <w:r>
        <w:rPr>
          <w:i/>
          <w:iCs/>
        </w:rPr>
        <w:t>s</w:t>
      </w:r>
      <w:r>
        <w:t>. Cette action est mise en place par une institution publique qui utilise une intervention pour inciter les agents à effectuer cette action (a = 1 sachant que a</w:t>
      </w:r>
      <w:r>
        <w:rPr>
          <w:vertAlign w:val="subscript"/>
        </w:rPr>
        <w:t>i</w:t>
      </w:r>
      <w:r>
        <w:t xml:space="preserve"> = 1 si et seulement si V</w:t>
      </w:r>
      <w:r>
        <w:rPr>
          <w:vertAlign w:val="subscript"/>
        </w:rPr>
        <w:t>i</w:t>
      </w:r>
      <w:r>
        <w:t xml:space="preserve"> ≥ c – ø(n) + θ</w:t>
      </w:r>
      <w:r>
        <w:rPr>
          <w:vertAlign w:val="subscript"/>
        </w:rPr>
        <w:t>i</w:t>
      </w:r>
      <w:r>
        <w:t>(n/T)</w:t>
      </w:r>
      <w:r>
        <w:rPr>
          <w:b/>
          <w:bCs/>
          <w:sz w:val="32"/>
          <w:szCs w:val="32"/>
          <w:vertAlign w:val="superscript"/>
        </w:rPr>
        <w:t>α</w:t>
      </w:r>
      <w:r>
        <w:t xml:space="preserve"> ou U</w:t>
      </w:r>
      <w:r>
        <w:rPr>
          <w:vertAlign w:val="subscript"/>
        </w:rPr>
        <w:t>i</w:t>
      </w:r>
      <w:r>
        <w:t>(1) ≥ 0).</w:t>
      </w:r>
    </w:p>
    <w:p w14:paraId="2AB626D7" w14:textId="77777777" w:rsidR="00A847FA" w:rsidRDefault="009F33B0">
      <w:pPr>
        <w:pStyle w:val="Standard"/>
        <w:rPr>
          <w:rFonts w:hint="eastAsia"/>
        </w:rPr>
      </w:pPr>
      <w:r>
        <w:t xml:space="preserve">Pour chaque agent </w:t>
      </w:r>
      <w:r>
        <w:rPr>
          <w:i/>
          <w:iCs/>
        </w:rPr>
        <w:t>i</w:t>
      </w:r>
      <w:r>
        <w:t>, nous définissons une fonction d’utilité</w:t>
      </w:r>
      <w:r>
        <w:rPr>
          <w:i/>
          <w:iCs/>
        </w:rPr>
        <w:t xml:space="preserve"> U </w:t>
      </w:r>
      <w:r>
        <w:t>telle que :</w:t>
      </w:r>
    </w:p>
    <w:p w14:paraId="28FCC978" w14:textId="77777777" w:rsidR="00A847FA" w:rsidRDefault="00A847FA">
      <w:pPr>
        <w:pStyle w:val="Standard"/>
        <w:rPr>
          <w:rFonts w:hint="eastAsia"/>
        </w:rPr>
      </w:pPr>
    </w:p>
    <w:p w14:paraId="04C9BF63" w14:textId="77777777" w:rsidR="00A847FA" w:rsidRPr="00D657B1" w:rsidRDefault="009F33B0">
      <w:pPr>
        <w:pStyle w:val="Standard"/>
        <w:jc w:val="center"/>
        <w:rPr>
          <w:rFonts w:hint="eastAsia"/>
          <w:lang w:val="it-IT"/>
        </w:rPr>
      </w:pPr>
      <w:r w:rsidRPr="00D657B1">
        <w:rPr>
          <w:b/>
          <w:bCs/>
          <w:sz w:val="32"/>
          <w:szCs w:val="32"/>
          <w:lang w:val="it-IT"/>
        </w:rPr>
        <w:t>U</w:t>
      </w:r>
      <w:r w:rsidRPr="00D657B1">
        <w:rPr>
          <w:b/>
          <w:bCs/>
          <w:sz w:val="32"/>
          <w:szCs w:val="32"/>
          <w:vertAlign w:val="subscript"/>
          <w:lang w:val="it-IT"/>
        </w:rPr>
        <w:t>i</w:t>
      </w:r>
      <w:r w:rsidRPr="00D657B1">
        <w:rPr>
          <w:b/>
          <w:bCs/>
          <w:sz w:val="32"/>
          <w:szCs w:val="32"/>
          <w:lang w:val="it-IT"/>
        </w:rPr>
        <w:t>(a) = a * [ V</w:t>
      </w:r>
      <w:r w:rsidRPr="00D657B1">
        <w:rPr>
          <w:b/>
          <w:bCs/>
          <w:sz w:val="32"/>
          <w:szCs w:val="32"/>
          <w:vertAlign w:val="subscript"/>
          <w:lang w:val="it-IT"/>
        </w:rPr>
        <w:t>i</w:t>
      </w:r>
      <w:r w:rsidRPr="00D657B1">
        <w:rPr>
          <w:b/>
          <w:bCs/>
          <w:sz w:val="32"/>
          <w:szCs w:val="32"/>
          <w:lang w:val="it-IT"/>
        </w:rPr>
        <w:t xml:space="preserve"> – ( c – ø(n)) - </w:t>
      </w:r>
      <w:r>
        <w:rPr>
          <w:b/>
          <w:bCs/>
          <w:sz w:val="32"/>
          <w:szCs w:val="32"/>
        </w:rPr>
        <w:t>θ</w:t>
      </w:r>
      <w:r w:rsidRPr="00D657B1">
        <w:rPr>
          <w:b/>
          <w:bCs/>
          <w:sz w:val="32"/>
          <w:szCs w:val="32"/>
          <w:vertAlign w:val="subscript"/>
          <w:lang w:val="it-IT"/>
        </w:rPr>
        <w:t>i</w:t>
      </w:r>
      <w:r w:rsidRPr="00D657B1">
        <w:rPr>
          <w:b/>
          <w:bCs/>
          <w:sz w:val="32"/>
          <w:szCs w:val="32"/>
          <w:lang w:val="it-IT"/>
        </w:rPr>
        <w:t xml:space="preserve"> * (n/T)</w:t>
      </w:r>
      <w:r>
        <w:rPr>
          <w:b/>
          <w:bCs/>
          <w:sz w:val="32"/>
          <w:szCs w:val="32"/>
          <w:vertAlign w:val="superscript"/>
        </w:rPr>
        <w:t>α</w:t>
      </w:r>
      <w:r w:rsidRPr="00D657B1">
        <w:rPr>
          <w:b/>
          <w:bCs/>
          <w:sz w:val="32"/>
          <w:szCs w:val="32"/>
          <w:lang w:val="it-IT"/>
        </w:rPr>
        <w:t>]</w:t>
      </w:r>
    </w:p>
    <w:p w14:paraId="4ABFF4AF" w14:textId="77777777" w:rsidR="00A847FA" w:rsidRPr="00D657B1" w:rsidRDefault="00A847FA">
      <w:pPr>
        <w:pStyle w:val="Standard"/>
        <w:jc w:val="center"/>
        <w:rPr>
          <w:rFonts w:hint="eastAsia"/>
          <w:b/>
          <w:bCs/>
          <w:sz w:val="32"/>
          <w:szCs w:val="32"/>
          <w:lang w:val="it-IT"/>
        </w:rPr>
      </w:pPr>
    </w:p>
    <w:p w14:paraId="411AAE7F" w14:textId="77777777" w:rsidR="00A847FA" w:rsidRDefault="009F33B0">
      <w:pPr>
        <w:pStyle w:val="Standard"/>
        <w:rPr>
          <w:rFonts w:hint="eastAsia"/>
        </w:rPr>
      </w:pPr>
      <w:r>
        <w:t>où :</w:t>
      </w:r>
    </w:p>
    <w:p w14:paraId="37A51E92" w14:textId="77777777" w:rsidR="00A847FA" w:rsidRDefault="009F33B0">
      <w:pPr>
        <w:pStyle w:val="Standard"/>
        <w:numPr>
          <w:ilvl w:val="0"/>
          <w:numId w:val="1"/>
        </w:numPr>
        <w:rPr>
          <w:rFonts w:hint="eastAsia"/>
        </w:rPr>
      </w:pPr>
      <w:r>
        <w:t>a est un paramètre binaire {0,1}</w:t>
      </w:r>
    </w:p>
    <w:p w14:paraId="5492981C" w14:textId="1DD01A32" w:rsidR="00A847FA" w:rsidRDefault="009F33B0">
      <w:pPr>
        <w:pStyle w:val="Standard"/>
        <w:numPr>
          <w:ilvl w:val="0"/>
          <w:numId w:val="1"/>
        </w:numPr>
        <w:rPr>
          <w:rFonts w:hint="eastAsia"/>
        </w:rPr>
      </w:pPr>
      <w:r>
        <w:t>V</w:t>
      </w:r>
      <w:r>
        <w:rPr>
          <w:vertAlign w:val="subscript"/>
        </w:rPr>
        <w:t>i</w:t>
      </w:r>
      <w:r>
        <w:t> représente les motivations intrinsèques hétérogènes des agents via une distribution normale tronquée</w:t>
      </w:r>
      <w:r w:rsidR="00484D69">
        <w:t xml:space="preserve"> </w:t>
      </w:r>
      <w:r w:rsidR="00484D69" w:rsidRPr="00484D69">
        <w:rPr>
          <w:highlight w:val="yellow"/>
        </w:rPr>
        <w:t>qui est définie par deux paramètres.</w:t>
      </w:r>
    </w:p>
    <w:p w14:paraId="16E2588B" w14:textId="77777777" w:rsidR="00A847FA" w:rsidRDefault="009F33B0">
      <w:pPr>
        <w:pStyle w:val="Standard"/>
        <w:numPr>
          <w:ilvl w:val="0"/>
          <w:numId w:val="1"/>
        </w:numPr>
        <w:rPr>
          <w:rFonts w:hint="eastAsia"/>
        </w:rPr>
      </w:pPr>
      <w:r>
        <w:t>c est le coût de base fixe</w:t>
      </w:r>
    </w:p>
    <w:p w14:paraId="046B9555" w14:textId="20006B85" w:rsidR="00A847FA" w:rsidRDefault="009F33B0">
      <w:pPr>
        <w:pStyle w:val="Standard"/>
        <w:numPr>
          <w:ilvl w:val="0"/>
          <w:numId w:val="1"/>
        </w:numPr>
        <w:rPr>
          <w:rFonts w:hint="eastAsia"/>
        </w:rPr>
      </w:pPr>
      <w:r>
        <w:t>ø(n) est l’efficacité du nudge telle que</w:t>
      </w:r>
      <w:r w:rsidR="00B90FCD">
        <w:t xml:space="preserve"> </w:t>
      </w:r>
      <w:r w:rsidR="00B90FCD" w:rsidRPr="009579C5">
        <w:rPr>
          <w:highlight w:val="yellow"/>
        </w:rPr>
        <w:t xml:space="preserve">(définir précisément ce qu’est un nudge et </w:t>
      </w:r>
      <w:r w:rsidR="00884788">
        <w:rPr>
          <w:highlight w:val="yellow"/>
        </w:rPr>
        <w:t xml:space="preserve">ce que représente la </w:t>
      </w:r>
      <w:r w:rsidR="00B90FCD" w:rsidRPr="009579C5">
        <w:rPr>
          <w:highlight w:val="yellow"/>
        </w:rPr>
        <w:t xml:space="preserve">variable </w:t>
      </w:r>
      <m:oMath>
        <m:r>
          <w:rPr>
            <w:rFonts w:ascii="Cambria Math" w:hAnsi="Cambria Math"/>
            <w:highlight w:val="yellow"/>
          </w:rPr>
          <m:t>n</m:t>
        </m:r>
      </m:oMath>
      <w:r w:rsidR="00B90FCD" w:rsidRPr="009579C5">
        <w:rPr>
          <w:highlight w:val="yellow"/>
        </w:rPr>
        <w:t>)</w:t>
      </w:r>
      <w:r w:rsidR="00B90FCD">
        <w:t xml:space="preserve"> </w:t>
      </w:r>
    </w:p>
    <w:p w14:paraId="2E4C8046" w14:textId="77777777" w:rsidR="00A847FA" w:rsidRDefault="009F33B0">
      <w:pPr>
        <w:pStyle w:val="Standard"/>
        <w:numPr>
          <w:ilvl w:val="1"/>
          <w:numId w:val="1"/>
        </w:numPr>
        <w:rPr>
          <w:rFonts w:hint="eastAsia"/>
        </w:rPr>
      </w:pPr>
      <w:r>
        <w:t>ø(n) = γ ln(1+n)</w:t>
      </w:r>
    </w:p>
    <w:p w14:paraId="47E1BF37" w14:textId="77777777" w:rsidR="00A847FA" w:rsidRDefault="009F33B0">
      <w:pPr>
        <w:pStyle w:val="Standard"/>
        <w:numPr>
          <w:ilvl w:val="1"/>
          <w:numId w:val="1"/>
        </w:numPr>
        <w:rPr>
          <w:rFonts w:hint="eastAsia"/>
        </w:rPr>
      </w:pPr>
      <w:r>
        <w:t>ø(0)=0</w:t>
      </w:r>
    </w:p>
    <w:p w14:paraId="3A718D41" w14:textId="77777777" w:rsidR="00A847FA" w:rsidRDefault="009F33B0">
      <w:pPr>
        <w:pStyle w:val="Textbody"/>
        <w:numPr>
          <w:ilvl w:val="1"/>
          <w:numId w:val="1"/>
        </w:numPr>
        <w:spacing w:after="0"/>
        <w:rPr>
          <w:rFonts w:hint="eastAsia"/>
        </w:rPr>
      </w:pPr>
      <w:r>
        <w:t>ø′(n)&gt;0 (efficacité croissante)</w:t>
      </w:r>
    </w:p>
    <w:p w14:paraId="75E8C7F0" w14:textId="3AFA9D14" w:rsidR="00B90FCD" w:rsidRDefault="009F33B0" w:rsidP="00B90FCD">
      <w:pPr>
        <w:pStyle w:val="Textbody"/>
        <w:numPr>
          <w:ilvl w:val="1"/>
          <w:numId w:val="1"/>
        </w:numPr>
        <w:spacing w:after="0"/>
      </w:pPr>
      <w:r>
        <w:t>ø′′(n)&lt;0 (rendements décroissants)</w:t>
      </w:r>
    </w:p>
    <w:p w14:paraId="34F2C6DC" w14:textId="727B60B5" w:rsidR="00A847FA" w:rsidRDefault="009F33B0" w:rsidP="00484D69">
      <w:pPr>
        <w:pStyle w:val="Textbody"/>
        <w:numPr>
          <w:ilvl w:val="0"/>
          <w:numId w:val="1"/>
        </w:numPr>
        <w:spacing w:after="0"/>
        <w:rPr>
          <w:rFonts w:hint="eastAsia"/>
        </w:rPr>
      </w:pPr>
      <w:r>
        <w:t>θ</w:t>
      </w:r>
      <w:r w:rsidRPr="00484D69">
        <w:rPr>
          <w:vertAlign w:val="subscript"/>
        </w:rPr>
        <w:t>i </w:t>
      </w:r>
      <w:r>
        <w:t>est la sensibilité à la réactance et suit une distribution Gamma</w:t>
      </w:r>
      <w:r w:rsidR="009579C5">
        <w:t xml:space="preserve"> </w:t>
      </w:r>
      <w:r w:rsidR="009579C5" w:rsidRPr="00484D69">
        <w:rPr>
          <w:highlight w:val="yellow"/>
        </w:rPr>
        <w:t xml:space="preserve">qui est </w:t>
      </w:r>
      <w:r w:rsidR="00484D69">
        <w:rPr>
          <w:highlight w:val="yellow"/>
        </w:rPr>
        <w:t xml:space="preserve">aussi </w:t>
      </w:r>
      <w:r w:rsidR="009579C5" w:rsidRPr="00484D69">
        <w:rPr>
          <w:highlight w:val="yellow"/>
        </w:rPr>
        <w:t>définie par deux paramètres</w:t>
      </w:r>
      <w:r w:rsidR="00484D69" w:rsidRPr="00484D69">
        <w:rPr>
          <w:highlight w:val="yellow"/>
        </w:rPr>
        <w:t xml:space="preserve">. Cette variable ne détermine-t’elle pas aussi l’efficacité du nudge </w:t>
      </w:r>
      <m:oMath>
        <m:r>
          <w:rPr>
            <w:rFonts w:ascii="Cambria Math" w:hAnsi="Cambria Math"/>
            <w:highlight w:val="yellow"/>
          </w:rPr>
          <m:t>ϕ(∙)</m:t>
        </m:r>
      </m:oMath>
      <w:r w:rsidR="002B286A">
        <w:rPr>
          <w:highlight w:val="yellow"/>
        </w:rPr>
        <w:t xml:space="preserve">, i.e., </w:t>
      </w:r>
      <m:oMath>
        <m:r>
          <w:rPr>
            <w:rFonts w:ascii="Cambria Math" w:hAnsi="Cambria Math"/>
            <w:highlight w:val="yellow"/>
          </w:rPr>
          <m:t>ϕ(</m:t>
        </m:r>
        <m:r>
          <w:rPr>
            <w:rFonts w:ascii="Cambria Math" w:hAnsi="Cambria Math"/>
            <w:highlight w:val="yellow"/>
          </w:rPr>
          <m:t>n,</m:t>
        </m:r>
        <m:sSub>
          <m:sSubPr>
            <m:ctrlPr>
              <w:rPr>
                <w:rFonts w:ascii="Cambria Math" w:hAnsi="Cambria Math"/>
                <w:i/>
              </w:rPr>
            </m:ctrlPr>
          </m:sSubPr>
          <m:e>
            <m:r>
              <w:rPr>
                <w:rFonts w:ascii="Cambria Math" w:hAnsi="Cambria Math"/>
                <w:highlight w:val="yellow"/>
              </w:rPr>
              <m:t>θ</m:t>
            </m:r>
          </m:e>
          <m:sub>
            <m:r>
              <w:rPr>
                <w:rFonts w:ascii="Cambria Math" w:hAnsi="Cambria Math"/>
              </w:rPr>
              <m:t>i</m:t>
            </m:r>
          </m:sub>
        </m:sSub>
        <m:r>
          <w:rPr>
            <w:rFonts w:ascii="Cambria Math" w:hAnsi="Cambria Math"/>
            <w:highlight w:val="yellow"/>
          </w:rPr>
          <m:t>)</m:t>
        </m:r>
      </m:oMath>
      <w:r w:rsidR="002B286A">
        <w:rPr>
          <w:highlight w:val="yellow"/>
        </w:rPr>
        <w:t xml:space="preserve"> </w:t>
      </w:r>
      <w:r w:rsidR="00484D69" w:rsidRPr="00484D69">
        <w:rPr>
          <w:highlight w:val="yellow"/>
        </w:rPr>
        <w:t>?</w:t>
      </w:r>
    </w:p>
    <w:p w14:paraId="60C3C395" w14:textId="132E80AC" w:rsidR="00A847FA" w:rsidRDefault="009F33B0">
      <w:pPr>
        <w:pStyle w:val="Standard"/>
        <w:numPr>
          <w:ilvl w:val="0"/>
          <w:numId w:val="1"/>
        </w:numPr>
        <w:rPr>
          <w:rFonts w:hint="eastAsia"/>
        </w:rPr>
      </w:pPr>
      <w:r>
        <w:t>(n/T)</w:t>
      </w:r>
      <w:r>
        <w:rPr>
          <w:vertAlign w:val="superscript"/>
        </w:rPr>
        <w:t>α</w:t>
      </w:r>
      <w:r>
        <w:t xml:space="preserve"> est le signal de réactance qui monte continuellement avec </w:t>
      </w:r>
      <w:r w:rsidRPr="009579C5">
        <w:rPr>
          <w:highlight w:val="yellow"/>
        </w:rPr>
        <w:t>l’intensité de la politique publique</w:t>
      </w:r>
      <w:r w:rsidR="009579C5" w:rsidRPr="009579C5">
        <w:rPr>
          <w:highlight w:val="yellow"/>
        </w:rPr>
        <w:t xml:space="preserve"> (à définir précis</w:t>
      </w:r>
      <w:r w:rsidR="009579C5">
        <w:rPr>
          <w:highlight w:val="yellow"/>
        </w:rPr>
        <w:t>é</w:t>
      </w:r>
      <w:r w:rsidR="009579C5" w:rsidRPr="009579C5">
        <w:rPr>
          <w:highlight w:val="yellow"/>
        </w:rPr>
        <w:t>ment)</w:t>
      </w:r>
    </w:p>
    <w:p w14:paraId="513306EA" w14:textId="38B3BA41" w:rsidR="00A847FA" w:rsidRDefault="009F33B0">
      <w:pPr>
        <w:pStyle w:val="Standard"/>
        <w:numPr>
          <w:ilvl w:val="0"/>
          <w:numId w:val="1"/>
        </w:numPr>
        <w:rPr>
          <w:rFonts w:hint="eastAsia"/>
        </w:rPr>
      </w:pPr>
      <w:r>
        <w:t>T représente la confiance institutionnelle</w:t>
      </w:r>
      <w:r w:rsidR="009579C5">
        <w:t xml:space="preserve"> </w:t>
      </w:r>
      <w:r w:rsidR="009579C5" w:rsidRPr="009579C5">
        <w:rPr>
          <w:highlight w:val="yellow"/>
        </w:rPr>
        <w:t>(quel est le domaine de T ?)</w:t>
      </w:r>
    </w:p>
    <w:p w14:paraId="2D9D2C68" w14:textId="77777777" w:rsidR="00A847FA" w:rsidRDefault="009F33B0">
      <w:pPr>
        <w:pStyle w:val="Textbody"/>
        <w:numPr>
          <w:ilvl w:val="0"/>
          <w:numId w:val="1"/>
        </w:numPr>
        <w:rPr>
          <w:rFonts w:hint="eastAsia"/>
        </w:rPr>
      </w:pPr>
      <w:r>
        <w:t>α&gt;1</w:t>
      </w:r>
    </w:p>
    <w:p w14:paraId="01BD4CC1" w14:textId="77777777" w:rsidR="00A847FA" w:rsidRDefault="009F33B0">
      <w:pPr>
        <w:pStyle w:val="Textbody"/>
      </w:pPr>
      <w:r>
        <w:t xml:space="preserve">Le comportement d'adoption dépend donc de l'équilibre entre deux forces opposées. D'une part, l'intensification de la politique publique réduit le coût effectif de l'action et augmente son </w:t>
      </w:r>
      <w:r>
        <w:lastRenderedPageBreak/>
        <w:t>attractivité. D'autre part, elle peut générer un coût psychologique lié à la perception d'une restriction de liberté individuelle.</w:t>
      </w:r>
    </w:p>
    <w:p w14:paraId="3280D08C" w14:textId="77777777" w:rsidR="00B90FCD" w:rsidRPr="00D657B1" w:rsidRDefault="00B90FCD" w:rsidP="00B90FCD">
      <w:pPr>
        <w:pStyle w:val="Textbody"/>
        <w:pBdr>
          <w:top w:val="single" w:sz="4" w:space="1" w:color="auto"/>
          <w:left w:val="single" w:sz="4" w:space="4" w:color="auto"/>
          <w:bottom w:val="single" w:sz="4" w:space="1" w:color="auto"/>
          <w:right w:val="single" w:sz="4" w:space="4" w:color="auto"/>
        </w:pBdr>
        <w:rPr>
          <w:rFonts w:ascii="Cambria Math" w:hAnsi="Cambria Math"/>
        </w:rPr>
      </w:pPr>
      <w:r w:rsidRPr="00D657B1">
        <w:rPr>
          <w:rFonts w:ascii="Cambria Math" w:hAnsi="Cambria Math"/>
        </w:rPr>
        <w:t>Le modèle propos</w:t>
      </w:r>
      <w:r>
        <w:rPr>
          <w:rFonts w:ascii="Cambria Math" w:hAnsi="Cambria Math"/>
        </w:rPr>
        <w:t>é</w:t>
      </w:r>
      <w:r w:rsidRPr="00D657B1">
        <w:rPr>
          <w:rFonts w:ascii="Cambria Math" w:hAnsi="Cambria Math"/>
        </w:rPr>
        <w:t xml:space="preserve"> est exploratoire et utile pour une premi</w:t>
      </w:r>
      <w:r>
        <w:rPr>
          <w:rFonts w:ascii="Cambria Math" w:hAnsi="Cambria Math"/>
        </w:rPr>
        <w:t>è</w:t>
      </w:r>
      <w:r w:rsidRPr="00D657B1">
        <w:rPr>
          <w:rFonts w:ascii="Cambria Math" w:hAnsi="Cambria Math"/>
        </w:rPr>
        <w:t>re appr</w:t>
      </w:r>
      <w:r>
        <w:rPr>
          <w:rFonts w:ascii="Cambria Math" w:hAnsi="Cambria Math"/>
        </w:rPr>
        <w:t>é</w:t>
      </w:r>
      <w:r w:rsidRPr="00D657B1">
        <w:rPr>
          <w:rFonts w:ascii="Cambria Math" w:hAnsi="Cambria Math"/>
        </w:rPr>
        <w:t>ciation num</w:t>
      </w:r>
      <w:r>
        <w:rPr>
          <w:rFonts w:ascii="Cambria Math" w:hAnsi="Cambria Math"/>
        </w:rPr>
        <w:t>é</w:t>
      </w:r>
      <w:r w:rsidRPr="00D657B1">
        <w:rPr>
          <w:rFonts w:ascii="Cambria Math" w:hAnsi="Cambria Math"/>
        </w:rPr>
        <w:t>rique de l’effet de la r</w:t>
      </w:r>
      <w:r>
        <w:rPr>
          <w:rFonts w:ascii="Cambria Math" w:hAnsi="Cambria Math"/>
        </w:rPr>
        <w:t>é</w:t>
      </w:r>
      <w:r w:rsidRPr="00D657B1">
        <w:rPr>
          <w:rFonts w:ascii="Cambria Math" w:hAnsi="Cambria Math"/>
        </w:rPr>
        <w:t>actance psychologique sur les d</w:t>
      </w:r>
      <w:r>
        <w:rPr>
          <w:rFonts w:ascii="Cambria Math" w:hAnsi="Cambria Math"/>
        </w:rPr>
        <w:t>é</w:t>
      </w:r>
      <w:r w:rsidRPr="00D657B1">
        <w:rPr>
          <w:rFonts w:ascii="Cambria Math" w:hAnsi="Cambria Math"/>
        </w:rPr>
        <w:t>cisions d’agents économiques dont l’utilit</w:t>
      </w:r>
      <w:r>
        <w:rPr>
          <w:rFonts w:ascii="Cambria Math" w:hAnsi="Cambria Math"/>
        </w:rPr>
        <w:t>é</w:t>
      </w:r>
      <w:r w:rsidRPr="00D657B1">
        <w:rPr>
          <w:rFonts w:ascii="Cambria Math" w:hAnsi="Cambria Math"/>
        </w:rPr>
        <w:t xml:space="preserve"> (de l’agent </w:t>
      </w:r>
      <m:oMath>
        <m:r>
          <w:rPr>
            <w:rFonts w:ascii="Cambria Math" w:hAnsi="Cambria Math"/>
          </w:rPr>
          <m:t>i</m:t>
        </m:r>
      </m:oMath>
      <w:r w:rsidRPr="00D657B1">
        <w:rPr>
          <w:rFonts w:ascii="Cambria Math" w:hAnsi="Cambria Math"/>
        </w:rPr>
        <w:t>) est définie comme suit :</w:t>
      </w:r>
    </w:p>
    <w:p w14:paraId="12CD6154" w14:textId="77777777" w:rsidR="00B90FCD" w:rsidRPr="00D657B1" w:rsidRDefault="00B90FCD" w:rsidP="00B90FCD">
      <w:pPr>
        <w:pStyle w:val="Textbody"/>
        <w:pBdr>
          <w:top w:val="single" w:sz="4" w:space="1" w:color="auto"/>
          <w:left w:val="single" w:sz="4" w:space="4" w:color="auto"/>
          <w:bottom w:val="single" w:sz="4" w:space="1" w:color="auto"/>
          <w:right w:val="single" w:sz="4" w:space="4" w:color="auto"/>
        </w:pBdr>
        <w:rPr>
          <w:rFonts w:ascii="Cambria Math" w:hAnsi="Cambria Math"/>
        </w:rPr>
      </w:pPr>
    </w:p>
    <w:p w14:paraId="6C1B9E84" w14:textId="77777777" w:rsidR="00B90FCD" w:rsidRPr="00D657B1" w:rsidRDefault="00B90FCD" w:rsidP="00B90FCD">
      <w:pPr>
        <w:pStyle w:val="Textbody"/>
        <w:pBdr>
          <w:top w:val="single" w:sz="4" w:space="1" w:color="auto"/>
          <w:left w:val="single" w:sz="4" w:space="4" w:color="auto"/>
          <w:bottom w:val="single" w:sz="4" w:space="1" w:color="auto"/>
          <w:right w:val="single" w:sz="4" w:space="4" w:color="auto"/>
        </w:pBdr>
        <w:jc w:val="center"/>
        <w:rPr>
          <w:rFonts w:ascii="Cambria Math" w:hAnsi="Cambria Math"/>
        </w:rPr>
      </w:pPr>
      <m:oMath>
        <m:sSub>
          <m:sSubPr>
            <m:ctrlPr>
              <w:rPr>
                <w:rFonts w:ascii="Cambria Math" w:hAnsi="Cambria Math"/>
              </w:rPr>
            </m:ctrlPr>
          </m:sSubPr>
          <m:e>
            <m:r>
              <w:rPr>
                <w:rFonts w:ascii="Cambria Math" w:hAnsi="Cambria Math"/>
              </w:rPr>
              <m:t>U</m:t>
            </m:r>
          </m:e>
          <m:sub>
            <m:r>
              <w:rPr>
                <w:rFonts w:ascii="Cambria Math" w:hAnsi="Cambria Math"/>
              </w:rPr>
              <m:t>i</m:t>
            </m:r>
          </m:sub>
        </m:sSub>
        <m:d>
          <m:dPr>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oMath>
      <w:r w:rsidRPr="00D657B1">
        <w:rPr>
          <w:rFonts w:ascii="Cambria Math" w:hAnsi="Cambria Math"/>
        </w:rPr>
        <w:t xml:space="preserve">, </w:t>
      </w:r>
      <m:oMath>
        <m:d>
          <m:dPr>
            <m:beg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e>
            <m:d>
              <m:dPr>
                <m:begChr m:val="["/>
                <m:sepChr m:val="−"/>
                <m:endChr m:val="]"/>
                <m:ctrlPr>
                  <w:rPr>
                    <w:rFonts w:ascii="Cambria Math" w:hAnsi="Cambria Math"/>
                  </w:rPr>
                </m:ctrlPr>
              </m:dPr>
              <m:e>
                <m:r>
                  <w:rPr>
                    <w:rFonts w:ascii="Cambria Math" w:hAnsi="Cambria Math"/>
                  </w:rPr>
                  <m:t>c</m:t>
                </m:r>
              </m:e>
              <m:e>
                <m:r>
                  <w:rPr>
                    <w:rFonts w:ascii="Cambria Math" w:hAnsi="Cambria Math"/>
                  </w:rPr>
                  <m:t>ϕ</m:t>
                </m:r>
                <m:d>
                  <m:dPr>
                    <m:ctrlPr>
                      <w:rPr>
                        <w:rFonts w:ascii="Cambria Math" w:hAnsi="Cambria Math"/>
                      </w:rPr>
                    </m:ctrlPr>
                  </m:dPr>
                  <m:e>
                    <m:r>
                      <w:rPr>
                        <w:rFonts w:ascii="Cambria Math" w:hAnsi="Cambria Math"/>
                      </w:rPr>
                      <m:t>n</m:t>
                    </m:r>
                  </m:e>
                </m:d>
              </m:e>
            </m:d>
          </m:e>
          <m:e>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T</m:t>
                        </m:r>
                      </m:den>
                    </m:f>
                  </m:e>
                </m:d>
              </m:e>
              <m:sup>
                <m:r>
                  <w:rPr>
                    <w:rFonts w:ascii="Cambria Math" w:hAnsi="Cambria Math"/>
                  </w:rPr>
                  <m:t>α</m:t>
                </m:r>
              </m:sup>
            </m:sSup>
          </m:e>
        </m:d>
        <m:sSub>
          <m:sSubPr>
            <m:ctrlPr>
              <w:rPr>
                <w:rFonts w:ascii="Cambria Math" w:hAnsi="Cambria Math"/>
              </w:rPr>
            </m:ctrlPr>
          </m:sSubPr>
          <m:e>
            <m:r>
              <m:rPr>
                <m:scr m:val="double-struck"/>
                <m:sty m:val="p"/>
              </m:rPr>
              <w:rPr>
                <w:rFonts w:ascii="Cambria Math" w:hAnsi="Cambria Math"/>
              </w:rPr>
              <m:t>I</m:t>
            </m:r>
          </m:e>
          <m:sub>
            <m:r>
              <w:rPr>
                <w:rFonts w:ascii="Cambria Math" w:hAnsi="Cambria Math"/>
              </w:rPr>
              <m:t>U</m:t>
            </m:r>
            <m:d>
              <m:dPr>
                <m:sep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e>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i</m:t>
                    </m:r>
                  </m:sub>
                </m:sSub>
              </m:e>
            </m:d>
            <m:r>
              <w:rPr>
                <w:rFonts w:ascii="Cambria Math" w:hAnsi="Cambria Math"/>
              </w:rPr>
              <m:t>&gt;0</m:t>
            </m:r>
          </m:sub>
        </m:sSub>
      </m:oMath>
    </w:p>
    <w:p w14:paraId="7A9D2755" w14:textId="77777777" w:rsidR="00B90FCD" w:rsidRDefault="00B90FCD" w:rsidP="00B90FCD">
      <w:pPr>
        <w:pStyle w:val="Textbody"/>
        <w:pBdr>
          <w:top w:val="single" w:sz="4" w:space="1" w:color="auto"/>
          <w:left w:val="single" w:sz="4" w:space="4" w:color="auto"/>
          <w:bottom w:val="single" w:sz="4" w:space="1" w:color="auto"/>
          <w:right w:val="single" w:sz="4" w:space="4" w:color="auto"/>
        </w:pBdr>
        <w:rPr>
          <w:rFonts w:ascii="Cambria Math" w:hAnsi="Cambria Math"/>
        </w:rPr>
      </w:pPr>
      <w:r w:rsidRPr="00D657B1">
        <w:rPr>
          <w:rFonts w:ascii="Cambria Math" w:hAnsi="Cambria Math"/>
        </w:rPr>
        <w:t>o</w:t>
      </w:r>
      <w:r>
        <w:rPr>
          <w:rFonts w:ascii="Cambria Math" w:hAnsi="Cambria Math"/>
        </w:rPr>
        <w:t>ù</w:t>
      </w:r>
      <w:r w:rsidRPr="00D657B1">
        <w:rPr>
          <w:rFonts w:ascii="Cambria Math" w:hAnsi="Cambria Math"/>
        </w:rPr>
        <w:t xml:space="preserve"> </w:t>
      </w:r>
      <m:oMath>
        <m:sSub>
          <m:sSubPr>
            <m:ctrlPr>
              <w:rPr>
                <w:rFonts w:ascii="Cambria Math" w:hAnsi="Cambria Math"/>
              </w:rPr>
            </m:ctrlPr>
          </m:sSubPr>
          <m:e>
            <m:r>
              <m:rPr>
                <m:scr m:val="double-struck"/>
                <m:sty m:val="p"/>
              </m:rPr>
              <w:rPr>
                <w:rFonts w:ascii="Cambria Math" w:hAnsi="Cambria Math"/>
              </w:rPr>
              <m:t>I</m:t>
            </m:r>
          </m:e>
          <m:sub>
            <m:r>
              <w:rPr>
                <w:rFonts w:ascii="Cambria Math" w:hAnsi="Cambria Math"/>
              </w:rPr>
              <m:t>U</m:t>
            </m:r>
            <m:d>
              <m:dPr>
                <m:sep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e>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i</m:t>
                    </m:r>
                  </m:sub>
                </m:sSub>
              </m:e>
            </m:d>
            <m:r>
              <w:rPr>
                <w:rFonts w:ascii="Cambria Math" w:hAnsi="Cambria Math"/>
              </w:rPr>
              <m:t>&gt;0</m:t>
            </m:r>
          </m:sub>
        </m:sSub>
      </m:oMath>
      <w:r>
        <w:rPr>
          <w:rFonts w:ascii="Cambria Math" w:hAnsi="Cambria Math"/>
        </w:rPr>
        <w:t xml:space="preserve"> est un opérateur qui prend la valeur 1 si </w:t>
      </w:r>
      <m:oMath>
        <m:sSub>
          <m:sSubPr>
            <m:ctrlPr>
              <w:rPr>
                <w:rFonts w:ascii="Cambria Math" w:hAnsi="Cambria Math"/>
              </w:rPr>
            </m:ctrlPr>
          </m:sSubPr>
          <m:e>
            <m:r>
              <w:rPr>
                <w:rFonts w:ascii="Cambria Math" w:hAnsi="Cambria Math"/>
              </w:rPr>
              <m:t>U</m:t>
            </m:r>
          </m:e>
          <m:sub>
            <m:r>
              <w:rPr>
                <w:rFonts w:ascii="Cambria Math" w:hAnsi="Cambria Math"/>
              </w:rPr>
              <m:t>i</m:t>
            </m:r>
          </m:sub>
        </m:sSub>
        <m:d>
          <m:dPr>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oMath>
      <w:r w:rsidRPr="00D657B1">
        <w:rPr>
          <w:rFonts w:ascii="Cambria Math" w:hAnsi="Cambria Math"/>
        </w:rPr>
        <w:t xml:space="preserve">, </w:t>
      </w:r>
      <m:oMath>
        <m:d>
          <m:dPr>
            <m:beg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r>
          <w:rPr>
            <w:rFonts w:ascii="Cambria Math" w:hAnsi="Cambria Math"/>
          </w:rPr>
          <m:t>&gt;0</m:t>
        </m:r>
      </m:oMath>
      <w:r>
        <w:rPr>
          <w:rFonts w:ascii="Cambria Math" w:hAnsi="Cambria Math"/>
        </w:rPr>
        <w:t xml:space="preserve"> et 0 sinon, et où </w:t>
      </w:r>
      <w:r w:rsidRPr="00D657B1">
        <w:rPr>
          <w:rFonts w:ascii="Cambria Math" w:hAnsi="Cambria Math"/>
        </w:rPr>
        <w:t>les variables al</w:t>
      </w:r>
      <w:r>
        <w:rPr>
          <w:rFonts w:ascii="Cambria Math" w:hAnsi="Cambria Math"/>
        </w:rPr>
        <w:t>é</w:t>
      </w:r>
      <w:r w:rsidRPr="00D657B1">
        <w:rPr>
          <w:rFonts w:ascii="Cambria Math" w:hAnsi="Cambria Math"/>
        </w:rPr>
        <w:t xml:space="preserve">atoires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D657B1">
        <w:rPr>
          <w:rFonts w:ascii="Cambria Math" w:hAnsi="Cambria Math"/>
        </w:rPr>
        <w:t xml:space="preserve"> et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D657B1">
        <w:rPr>
          <w:rFonts w:ascii="Cambria Math" w:hAnsi="Cambria Math"/>
        </w:rPr>
        <w:t xml:space="preserve"> suivent respectivement une loi normale tronqu</w:t>
      </w:r>
      <w:r>
        <w:rPr>
          <w:rFonts w:ascii="Cambria Math" w:hAnsi="Cambria Math"/>
        </w:rPr>
        <w:t>é</w:t>
      </w:r>
      <w:r w:rsidRPr="00D657B1">
        <w:rPr>
          <w:rFonts w:ascii="Cambria Math" w:hAnsi="Cambria Math"/>
        </w:rPr>
        <w:t xml:space="preserve">e et une loi Gamma. Les paramètres </w:t>
      </w:r>
      <m:oMath>
        <m:r>
          <w:rPr>
            <w:rFonts w:ascii="Cambria Math" w:hAnsi="Cambria Math"/>
          </w:rPr>
          <m:t>c,n, T</m:t>
        </m:r>
      </m:oMath>
      <w:r w:rsidRPr="00D657B1">
        <w:rPr>
          <w:rFonts w:ascii="Cambria Math" w:hAnsi="Cambria Math"/>
        </w:rPr>
        <w:t xml:space="preserve"> et </w:t>
      </w:r>
      <w:r w:rsidRPr="00D657B1">
        <w:rPr>
          <w:rFonts w:ascii="Cambria Math" w:hAnsi="Cambria Math"/>
          <w:i/>
          <w:iCs/>
        </w:rPr>
        <w:t>α</w:t>
      </w:r>
      <w:r w:rsidRPr="00D657B1">
        <w:rPr>
          <w:rFonts w:ascii="Cambria Math" w:hAnsi="Cambria Math"/>
        </w:rPr>
        <w:t xml:space="preserve">, et la fonction </w:t>
      </w:r>
      <m:oMath>
        <m:r>
          <w:rPr>
            <w:rFonts w:ascii="Cambria Math" w:hAnsi="Cambria Math"/>
          </w:rPr>
          <m:t>ϕ(∙)</m:t>
        </m:r>
      </m:oMath>
      <w:r w:rsidRPr="00D657B1">
        <w:rPr>
          <w:rFonts w:ascii="Cambria Math" w:hAnsi="Cambria Math"/>
        </w:rPr>
        <w:t xml:space="preserve"> (et son paramètre </w:t>
      </w:r>
      <m:oMath>
        <m:r>
          <w:rPr>
            <w:rFonts w:ascii="Cambria Math" w:hAnsi="Cambria Math"/>
          </w:rPr>
          <m:t>γ</m:t>
        </m:r>
      </m:oMath>
      <w:r w:rsidRPr="00D657B1">
        <w:rPr>
          <w:rFonts w:ascii="Cambria Math" w:hAnsi="Cambria Math"/>
        </w:rPr>
        <w:t xml:space="preserve">) sont identiques pour tous les individus et ‘connaissance commune’. </w:t>
      </w:r>
    </w:p>
    <w:p w14:paraId="79FAF1F8" w14:textId="77777777" w:rsidR="00B90FCD" w:rsidRDefault="00B90FCD" w:rsidP="00B90FCD">
      <w:pPr>
        <w:pStyle w:val="Textbody"/>
        <w:pBdr>
          <w:top w:val="single" w:sz="4" w:space="1" w:color="auto"/>
          <w:left w:val="single" w:sz="4" w:space="4" w:color="auto"/>
          <w:bottom w:val="single" w:sz="4" w:space="1" w:color="auto"/>
          <w:right w:val="single" w:sz="4" w:space="4" w:color="auto"/>
        </w:pBdr>
        <w:rPr>
          <w:rFonts w:ascii="Cambria Math" w:hAnsi="Cambria Math"/>
        </w:rPr>
      </w:pPr>
      <w:r w:rsidRPr="00D657B1">
        <w:rPr>
          <w:rFonts w:ascii="Cambria Math" w:hAnsi="Cambria Math"/>
        </w:rPr>
        <w:t>L’utilit</w:t>
      </w:r>
      <w:r>
        <w:rPr>
          <w:rFonts w:ascii="Cambria Math" w:hAnsi="Cambria Math"/>
        </w:rPr>
        <w:t>é</w:t>
      </w:r>
      <w:r w:rsidRPr="00D657B1">
        <w:rPr>
          <w:rFonts w:ascii="Cambria Math" w:hAnsi="Cambria Math"/>
        </w:rPr>
        <w:t xml:space="preserve"> et le choix binaire de l’agent étant d</w:t>
      </w:r>
      <w:r>
        <w:rPr>
          <w:rFonts w:ascii="Cambria Math" w:hAnsi="Cambria Math"/>
        </w:rPr>
        <w:t>é</w:t>
      </w:r>
      <w:r w:rsidRPr="00D657B1">
        <w:rPr>
          <w:rFonts w:ascii="Cambria Math" w:hAnsi="Cambria Math"/>
        </w:rPr>
        <w:t>finis par les réalisations des variables al</w:t>
      </w:r>
      <w:r>
        <w:rPr>
          <w:rFonts w:ascii="Cambria Math" w:hAnsi="Cambria Math"/>
        </w:rPr>
        <w:t>é</w:t>
      </w:r>
      <w:r w:rsidRPr="00D657B1">
        <w:rPr>
          <w:rFonts w:ascii="Cambria Math" w:hAnsi="Cambria Math"/>
        </w:rPr>
        <w:t>atoires</w:t>
      </w:r>
      <w:r>
        <w:rPr>
          <w:rFonts w:ascii="Cambria Math" w:hAnsi="Cambria Math"/>
        </w:rPr>
        <w:t>,</w:t>
      </w:r>
      <w:r w:rsidRPr="00D657B1">
        <w:rPr>
          <w:rFonts w:ascii="Cambria Math" w:hAnsi="Cambria Math"/>
        </w:rPr>
        <w:t xml:space="preserve"> </w:t>
      </w:r>
      <w:r>
        <w:rPr>
          <w:rFonts w:ascii="Cambria Math" w:hAnsi="Cambria Math"/>
        </w:rPr>
        <w:t xml:space="preserve">différents </w:t>
      </w:r>
      <w:r w:rsidRPr="00D657B1">
        <w:rPr>
          <w:rFonts w:ascii="Cambria Math" w:hAnsi="Cambria Math"/>
        </w:rPr>
        <w:t xml:space="preserve">paramètres et la forme fonctionnelle de </w:t>
      </w:r>
      <m:oMath>
        <m:r>
          <w:rPr>
            <w:rFonts w:ascii="Cambria Math" w:hAnsi="Cambria Math"/>
          </w:rPr>
          <m:t>ϕ(∙)</m:t>
        </m:r>
      </m:oMath>
      <w:r w:rsidRPr="00D657B1">
        <w:rPr>
          <w:rFonts w:ascii="Cambria Math" w:hAnsi="Cambria Math"/>
        </w:rPr>
        <w:t>, ce mod</w:t>
      </w:r>
      <w:r>
        <w:rPr>
          <w:rFonts w:ascii="Cambria Math" w:hAnsi="Cambria Math"/>
        </w:rPr>
        <w:t>è</w:t>
      </w:r>
      <w:r w:rsidRPr="00D657B1">
        <w:rPr>
          <w:rFonts w:ascii="Cambria Math" w:hAnsi="Cambria Math"/>
        </w:rPr>
        <w:t>le se pr</w:t>
      </w:r>
      <w:r>
        <w:rPr>
          <w:rFonts w:ascii="Cambria Math" w:hAnsi="Cambria Math"/>
        </w:rPr>
        <w:t>ê</w:t>
      </w:r>
      <w:r w:rsidRPr="00D657B1">
        <w:rPr>
          <w:rFonts w:ascii="Cambria Math" w:hAnsi="Cambria Math"/>
        </w:rPr>
        <w:t xml:space="preserve">te </w:t>
      </w:r>
      <w:r>
        <w:rPr>
          <w:rFonts w:ascii="Cambria Math" w:hAnsi="Cambria Math"/>
        </w:rPr>
        <w:t>plus à</w:t>
      </w:r>
      <w:r w:rsidRPr="00D657B1">
        <w:rPr>
          <w:rFonts w:ascii="Cambria Math" w:hAnsi="Cambria Math"/>
        </w:rPr>
        <w:t xml:space="preserve"> une analyse </w:t>
      </w:r>
      <w:r w:rsidRPr="00D657B1">
        <w:rPr>
          <w:rFonts w:ascii="Cambria Math" w:hAnsi="Cambria Math"/>
          <w:i/>
          <w:iCs/>
        </w:rPr>
        <w:t>numérique</w:t>
      </w:r>
      <w:r w:rsidRPr="00D657B1">
        <w:rPr>
          <w:rFonts w:ascii="Cambria Math" w:hAnsi="Cambria Math"/>
        </w:rPr>
        <w:t xml:space="preserve"> </w:t>
      </w:r>
      <w:r>
        <w:rPr>
          <w:rFonts w:ascii="Cambria Math" w:hAnsi="Cambria Math"/>
        </w:rPr>
        <w:t xml:space="preserve">que </w:t>
      </w:r>
      <w:r w:rsidRPr="00D657B1">
        <w:rPr>
          <w:rFonts w:ascii="Cambria Math" w:hAnsi="Cambria Math"/>
          <w:i/>
          <w:iCs/>
        </w:rPr>
        <w:t>analytique</w:t>
      </w:r>
      <w:r w:rsidRPr="00D657B1">
        <w:rPr>
          <w:rFonts w:ascii="Cambria Math" w:hAnsi="Cambria Math"/>
        </w:rPr>
        <w:t>.</w:t>
      </w:r>
    </w:p>
    <w:p w14:paraId="69EED0D8" w14:textId="77777777" w:rsidR="00484D69" w:rsidRDefault="00484D69">
      <w:pPr>
        <w:pStyle w:val="Textbody"/>
      </w:pPr>
    </w:p>
    <w:p w14:paraId="563639B7" w14:textId="564D2E1C" w:rsidR="00A847FA" w:rsidRDefault="009F33B0">
      <w:pPr>
        <w:pStyle w:val="Textbody"/>
        <w:rPr>
          <w:rFonts w:hint="eastAsia"/>
        </w:rPr>
      </w:pPr>
      <w:r>
        <w:t xml:space="preserve">L'existence d'un niveau optimal d'intervention dépend alors de la relation entre la vitesse de croissance du bénéfice matériel et celle du coût psychologique. Les simulations montrent qu'une fonction de réactance </w:t>
      </w:r>
      <w:r w:rsidR="009579C5">
        <w:t>(</w:t>
      </w:r>
      <m:oMath>
        <m:sSup>
          <m:sSupPr>
            <m:ctrlPr>
              <w:rPr>
                <w:rFonts w:ascii="Cambria Math" w:hAnsi="Cambria Math"/>
                <w:i/>
                <w:highlight w:val="yellow"/>
              </w:rPr>
            </m:ctrlPr>
          </m:sSupPr>
          <m:e>
            <m:r>
              <w:rPr>
                <w:rFonts w:ascii="Cambria Math" w:hAnsi="Cambria Math"/>
                <w:highlight w:val="yellow"/>
              </w:rPr>
              <m:t>(n/T)</m:t>
            </m:r>
          </m:e>
          <m:sup>
            <m:r>
              <w:rPr>
                <w:rFonts w:ascii="Cambria Math" w:hAnsi="Cambria Math"/>
                <w:highlight w:val="yellow"/>
              </w:rPr>
              <m:t>α</m:t>
            </m:r>
          </m:sup>
        </m:sSup>
        <m:r>
          <w:rPr>
            <w:rFonts w:ascii="Cambria Math" w:hAnsi="Cambria Math"/>
            <w:highlight w:val="yellow"/>
          </w:rPr>
          <m:t> </m:t>
        </m:r>
      </m:oMath>
      <w:r w:rsidR="009579C5" w:rsidRPr="009579C5">
        <w:rPr>
          <w:highlight w:val="yellow"/>
        </w:rPr>
        <w:t>?</w:t>
      </w:r>
      <w:r w:rsidR="009579C5">
        <w:t xml:space="preserve">) </w:t>
      </w:r>
      <w:r>
        <w:t>bornée peut empêcher l'apparition d'un optimum intérieur, tandis qu'une fonction dont la croissance devient plus forte lorsque l'intervention augmente permet de reproduire un comportement non monotone de l'adoption.</w:t>
      </w:r>
      <w:r w:rsidR="005A4DB7">
        <w:t xml:space="preserve"> </w:t>
      </w:r>
      <w:r w:rsidR="005A4DB7" w:rsidRPr="005A4DB7">
        <w:rPr>
          <w:highlight w:val="yellow"/>
        </w:rPr>
        <w:t xml:space="preserve">Cela </w:t>
      </w:r>
      <w:r w:rsidR="00884788">
        <w:rPr>
          <w:highlight w:val="yellow"/>
        </w:rPr>
        <w:t xml:space="preserve">va </w:t>
      </w:r>
      <w:r w:rsidR="005A4DB7">
        <w:rPr>
          <w:highlight w:val="yellow"/>
        </w:rPr>
        <w:t xml:space="preserve">aussi </w:t>
      </w:r>
      <w:r w:rsidR="005A4DB7" w:rsidRPr="005A4DB7">
        <w:rPr>
          <w:highlight w:val="yellow"/>
        </w:rPr>
        <w:t xml:space="preserve">dépendre des distributions retenues pour </w:t>
      </w:r>
      <m:oMath>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i</m:t>
            </m:r>
          </m:sub>
        </m:sSub>
      </m:oMath>
      <w:r w:rsidR="005A4DB7" w:rsidRPr="005A4DB7">
        <w:rPr>
          <w:highlight w:val="yellow"/>
        </w:rPr>
        <w:t xml:space="preserve"> et </w:t>
      </w:r>
      <m:oMath>
        <m:sSub>
          <m:sSubPr>
            <m:ctrlPr>
              <w:rPr>
                <w:rFonts w:ascii="Cambria Math" w:hAnsi="Cambria Math"/>
                <w:highlight w:val="yellow"/>
              </w:rPr>
            </m:ctrlPr>
          </m:sSubPr>
          <m:e>
            <m:r>
              <w:rPr>
                <w:rFonts w:ascii="Cambria Math" w:hAnsi="Cambria Math"/>
                <w:highlight w:val="yellow"/>
              </w:rPr>
              <m:t>θ</m:t>
            </m:r>
          </m:e>
          <m:sub>
            <m:r>
              <w:rPr>
                <w:rFonts w:ascii="Cambria Math" w:hAnsi="Cambria Math"/>
                <w:highlight w:val="yellow"/>
              </w:rPr>
              <m:t>i</m:t>
            </m:r>
          </m:sub>
        </m:sSub>
      </m:oMath>
      <w:r w:rsidR="00884788">
        <w:rPr>
          <w:highlight w:val="yellow"/>
        </w:rPr>
        <w:t xml:space="preserve"> et de la constellations des paramètres retenue,</w:t>
      </w:r>
      <w:r w:rsidR="005A4DB7" w:rsidRPr="005A4DB7">
        <w:rPr>
          <w:highlight w:val="yellow"/>
        </w:rPr>
        <w:t xml:space="preserve"> n’est-ce pas ?</w:t>
      </w:r>
    </w:p>
    <w:p w14:paraId="795104C2" w14:textId="3CA57686" w:rsidR="00A847FA" w:rsidRDefault="009F33B0">
      <w:pPr>
        <w:pStyle w:val="Textbody"/>
        <w:rPr>
          <w:rFonts w:hint="eastAsia"/>
        </w:rPr>
      </w:pPr>
      <w:r>
        <w:t>Le modèle proposé ne vise pas uniquement à décrire théoriquement l'existence d'une réactance comportementale, mais peut également être mobilisé afin d'estimer la probabilité d'adoption d'une politique publique au sein d'une population donnée. L'idée centrale est que l'adoption agrégée d'une campagne dépend de la distribution des caractéristiques individuelles des agents</w:t>
      </w:r>
      <w:r w:rsidR="005A4DB7">
        <w:t xml:space="preserve">. </w:t>
      </w:r>
      <w:r>
        <w:t xml:space="preserve">Pour un individu i, la décision d'adopter l'action dépend de la comparaison entre sa motivation intrinsèque Vi, le coût initial de l'action c, </w:t>
      </w:r>
      <w:r w:rsidRPr="005A4DB7">
        <w:rPr>
          <w:strike/>
        </w:rPr>
        <w:t>le bénéfice attendu de l'intervention</w:t>
      </w:r>
      <w:r w:rsidR="005A4DB7">
        <w:t xml:space="preserve"> </w:t>
      </w:r>
      <w:r w:rsidR="005A4DB7" w:rsidRPr="005A4DB7">
        <w:rPr>
          <w:highlight w:val="yellow"/>
        </w:rPr>
        <w:t>l’efficacité du nudge</w:t>
      </w:r>
      <w:r w:rsidR="005A4DB7">
        <w:t xml:space="preserve"> </w:t>
      </w:r>
      <w:r>
        <w:t xml:space="preserve"> ϕ(n), ainsi que le coût psychologique associé à la perception d'une perte d'autonomie.</w:t>
      </w:r>
    </w:p>
    <w:p w14:paraId="3430912B" w14:textId="77777777" w:rsidR="00A847FA" w:rsidRDefault="009F33B0">
      <w:pPr>
        <w:pStyle w:val="Textbody"/>
        <w:rPr>
          <w:rFonts w:hint="eastAsia"/>
        </w:rPr>
      </w:pPr>
      <w:r>
        <w:t xml:space="preserve">θi représente la sensibilité individuelle à la réactance et T le niveau de confiance institutionnelle. Dans une application réelle, ces paramètres individuels ne sont pas directement observables mais peuvent être estimés grâce à des données collectées en amont d'une campagne. Un questionnaire auprès de la population cible permettrait notamment d'approcher les motivations intrinsèques des individus (Vi), leur sensibilité au contrôle ou à l'influence externe (θi​), ainsi que leur niveau de confiance envers l'institution porteuse de la campagne (T). Ces informations permettraient alors d'estimer les distributions de la population, puis de simuler différents scénarios d'intervention. En faisant varier l'intensité de la campagne n, le modèle permettrait d'identifier la zone dans laquelle l'effet positif de l'intervention domine les coûts psychologiques associés, mais également de détecter l'apparition d'un seuil au-delà duquel une intensification supplémentaire devient contre-productive. Le modèle ne cherche donc pas à prédire individuellement le comportement d'un agent précis, mais </w:t>
      </w:r>
      <w:r>
        <w:lastRenderedPageBreak/>
        <w:t>à fournir un outil d'aide à la décision permettant d'évaluer ex ante la probabilité d'adoption d'une campagne selon les caractéristiques de la population ciblée et le niveau d'intervention envisagé.</w:t>
      </w:r>
    </w:p>
    <w:p w14:paraId="463E00DA" w14:textId="77777777" w:rsidR="00A847FA" w:rsidRDefault="009F33B0">
      <w:pPr>
        <w:pStyle w:val="Standard"/>
        <w:rPr>
          <w:rFonts w:hint="eastAsia"/>
        </w:rPr>
      </w:pPr>
      <w:r>
        <w:t>A partir de ce modèle, nous souhaitons travailler plusieurs propositions majeures :</w:t>
      </w:r>
    </w:p>
    <w:p w14:paraId="53B38A0E" w14:textId="77777777" w:rsidR="00A847FA" w:rsidRDefault="009F33B0">
      <w:pPr>
        <w:pStyle w:val="Standard"/>
        <w:rPr>
          <w:rFonts w:hint="eastAsia"/>
        </w:rPr>
      </w:pPr>
      <w:r>
        <w:t>- L’étude du seuil de réactance de chaque agent i en fonction des différents paramètres et les conditions pour atteindre l’adoption. Nous cherchons à étudier les effets d’une politique publique et à modéliser les effets matériels et psychologiques qui viennent contrebalancer la motivation intrinsèque de l’agent.</w:t>
      </w:r>
    </w:p>
    <w:p w14:paraId="29C41347" w14:textId="77777777" w:rsidR="00A847FA" w:rsidRDefault="009F33B0">
      <w:pPr>
        <w:pStyle w:val="Standard"/>
        <w:rPr>
          <w:rFonts w:hint="eastAsia"/>
        </w:rPr>
      </w:pPr>
      <w:r>
        <w:t>- L’étude de l’adoption d’une politique publique dans une population hétérogène en travaillant sur l’agrégation des seuils des agents et leurs conditions d’adoption. A travers cela, nous souhaitons étudier comment chaque effets peut être contrôlés afin de maximiser l’adoption au sein d’un groupe.</w:t>
      </w:r>
    </w:p>
    <w:p w14:paraId="62245C9D" w14:textId="77777777" w:rsidR="00A847FA" w:rsidRDefault="00A847FA">
      <w:pPr>
        <w:pStyle w:val="Standard"/>
        <w:rPr>
          <w:rFonts w:hint="eastAsia"/>
        </w:rPr>
      </w:pPr>
    </w:p>
    <w:p w14:paraId="2801DA5D" w14:textId="77777777" w:rsidR="00A847FA" w:rsidRDefault="009F33B0">
      <w:pPr>
        <w:pStyle w:val="Titre2"/>
        <w:rPr>
          <w:rFonts w:hint="eastAsia"/>
        </w:rPr>
      </w:pPr>
      <w:r>
        <w:t>Méthodologie</w:t>
      </w:r>
    </w:p>
    <w:p w14:paraId="6A22E7C4" w14:textId="77777777" w:rsidR="00A847FA" w:rsidRDefault="009F33B0">
      <w:pPr>
        <w:pStyle w:val="Textbody"/>
        <w:rPr>
          <w:rFonts w:hint="eastAsia"/>
        </w:rPr>
      </w:pPr>
      <w:r>
        <w:t>Pour ce travail, nous envisageons 3 étapes principales :</w:t>
      </w:r>
    </w:p>
    <w:p w14:paraId="58223D11" w14:textId="77777777" w:rsidR="00A847FA" w:rsidRDefault="009F33B0">
      <w:pPr>
        <w:pStyle w:val="Titre3"/>
        <w:rPr>
          <w:rFonts w:hint="eastAsia"/>
        </w:rPr>
      </w:pPr>
      <w:r>
        <w:t>Théorique</w:t>
      </w:r>
    </w:p>
    <w:p w14:paraId="348DA079" w14:textId="2D3D6599" w:rsidR="00A847FA" w:rsidRDefault="009F33B0">
      <w:pPr>
        <w:pStyle w:val="Textbody"/>
        <w:rPr>
          <w:rFonts w:hint="eastAsia"/>
        </w:rPr>
      </w:pPr>
      <w:r>
        <w:t xml:space="preserve">L’approche purement mathématique du modèle statique est la clé de la compréhension du phénomène de réactance. Cette étude repose sur le champs de </w:t>
      </w:r>
      <w:r w:rsidRPr="002B286A">
        <w:t>la théorie des jeux</w:t>
      </w:r>
      <w:r w:rsidR="002B286A" w:rsidRPr="002B286A">
        <w:t xml:space="preserve"> </w:t>
      </w:r>
      <w:r w:rsidR="002B286A" w:rsidRPr="002B286A">
        <w:rPr>
          <w:highlight w:val="yellow"/>
        </w:rPr>
        <w:t>(encore à définir)</w:t>
      </w:r>
      <w:r>
        <w:t>, de l’économie comportementale et de la sociologie.</w:t>
      </w:r>
    </w:p>
    <w:p w14:paraId="38521FFE" w14:textId="77777777" w:rsidR="00A847FA" w:rsidRDefault="009F33B0">
      <w:pPr>
        <w:pStyle w:val="Textbody"/>
        <w:rPr>
          <w:rFonts w:hint="eastAsia"/>
        </w:rPr>
      </w:pPr>
      <w:r>
        <w:t>Cette première phase fait l’objet d’un article théorique présentant le modèle, ses composantes et les démonstrations des deux propositions vues plus haut. Il représente une innovation dans le monde de la recherche car il intègre la notion de réactance dans l’utilité des agents.</w:t>
      </w:r>
    </w:p>
    <w:p w14:paraId="41A22B8A" w14:textId="77777777" w:rsidR="00A847FA" w:rsidRDefault="009F33B0">
      <w:pPr>
        <w:pStyle w:val="Textbody"/>
        <w:rPr>
          <w:rFonts w:hint="eastAsia"/>
        </w:rPr>
      </w:pPr>
      <w:r>
        <w:t>Ensuite, l’article sera complété par des simulations numériques. Plusieurs outils pourraient nous permettre de modéliser le fonctionnement de l’équation et ses limites. A l’aide d’outils de développement, il serait possible de faire des simulations dans différents contextes dans lesquels nous pourrions faire varier les facteurs qui influencent la prise de décision.</w:t>
      </w:r>
    </w:p>
    <w:p w14:paraId="056D25ED" w14:textId="77777777" w:rsidR="00A847FA" w:rsidRDefault="009F33B0">
      <w:pPr>
        <w:pStyle w:val="Textbody"/>
        <w:rPr>
          <w:rFonts w:hint="eastAsia"/>
        </w:rPr>
      </w:pPr>
      <w:r>
        <w:t>Ainsi, nous simulons l’adoption au sein d’une population en modifiant la confiance institutionnelle des agents, la force de la politique publique ou encore le coût fixe de cette dernière. Cela nous permet de prouver que certains contextes et certaines politiques sont préférables en fonction de l’objectif souhaité.</w:t>
      </w:r>
    </w:p>
    <w:p w14:paraId="4754B1F0" w14:textId="2C2CB132" w:rsidR="00A847FA" w:rsidRDefault="009F33B0">
      <w:pPr>
        <w:pStyle w:val="Textbody"/>
        <w:rPr>
          <w:rFonts w:hint="eastAsia"/>
        </w:rPr>
      </w:pPr>
      <w:r>
        <w:t>Pour réaliser ces simulation, nous utilisons des méthodes comme la modélisation basée sur les agents qui permet de simuler et randomiser l’hétérogénéité des agents et donc de tester le modèle sur des population fondamentalement différentes et ce, sur des grands volumes.</w:t>
      </w:r>
      <w:r w:rsidR="002B286A">
        <w:t xml:space="preserve"> </w:t>
      </w:r>
      <w:r w:rsidR="002B286A" w:rsidRPr="00B90090">
        <w:rPr>
          <w:highlight w:val="yellow"/>
        </w:rPr>
        <w:t xml:space="preserve">Ces simulations peuvent aussi supposer l’existence de clusters d’agents </w:t>
      </w:r>
      <w:r w:rsidR="00B90090" w:rsidRPr="00B90090">
        <w:rPr>
          <w:highlight w:val="yellow"/>
        </w:rPr>
        <w:t xml:space="preserve">défini par leurs </w:t>
      </w:r>
      <m:oMath>
        <m:sSub>
          <m:sSubPr>
            <m:ctrlPr>
              <w:rPr>
                <w:rFonts w:ascii="Cambria Math" w:hAnsi="Cambria Math"/>
                <w:highlight w:val="yellow"/>
              </w:rPr>
            </m:ctrlPr>
          </m:sSubPr>
          <m:e>
            <m:r>
              <w:rPr>
                <w:rFonts w:ascii="Cambria Math" w:hAnsi="Cambria Math"/>
                <w:highlight w:val="yellow"/>
              </w:rPr>
              <m:t>θ</m:t>
            </m:r>
          </m:e>
          <m:sub>
            <m:r>
              <w:rPr>
                <w:rFonts w:ascii="Cambria Math" w:hAnsi="Cambria Math"/>
                <w:highlight w:val="yellow"/>
              </w:rPr>
              <m:t>i</m:t>
            </m:r>
          </m:sub>
        </m:sSub>
      </m:oMath>
      <w:r w:rsidR="00B90090" w:rsidRPr="00B90090">
        <w:rPr>
          <w:highlight w:val="yellow"/>
        </w:rPr>
        <w:t>s.</w:t>
      </w:r>
    </w:p>
    <w:p w14:paraId="173B30E9" w14:textId="77777777" w:rsidR="00A847FA" w:rsidRDefault="009F33B0">
      <w:pPr>
        <w:pStyle w:val="Textbody"/>
        <w:rPr>
          <w:rFonts w:hint="eastAsia"/>
        </w:rPr>
      </w:pPr>
      <w:r>
        <w:t>Nous pourrions aussi intégrer des données réelles en santé pour ajuster et calibrer le modèle dans un environnement statique.</w:t>
      </w:r>
    </w:p>
    <w:p w14:paraId="54D023A0" w14:textId="77777777" w:rsidR="00A847FA" w:rsidRDefault="009F33B0">
      <w:pPr>
        <w:pStyle w:val="Textbody"/>
        <w:rPr>
          <w:rFonts w:hint="eastAsia"/>
          <w:b/>
          <w:bCs/>
          <w:sz w:val="28"/>
          <w:szCs w:val="28"/>
        </w:rPr>
      </w:pPr>
      <w:r>
        <w:rPr>
          <w:b/>
          <w:bCs/>
          <w:sz w:val="28"/>
          <w:szCs w:val="28"/>
        </w:rPr>
        <w:t>Approche théorique dans un cadre dynamique</w:t>
      </w:r>
    </w:p>
    <w:p w14:paraId="4FF387D1" w14:textId="77777777" w:rsidR="00A847FA" w:rsidRDefault="009F33B0">
      <w:pPr>
        <w:pStyle w:val="Textbody"/>
        <w:rPr>
          <w:rFonts w:hint="eastAsia"/>
        </w:rPr>
      </w:pPr>
      <w:r>
        <w:t>Dans cette deuxième étape, à partir du modèle vu plus haut, nous introduirons les notions d’apprentissage et d’influence dans un environnement dynamique.</w:t>
      </w:r>
    </w:p>
    <w:p w14:paraId="4CAE3CD5" w14:textId="77777777" w:rsidR="00A847FA" w:rsidRDefault="009F33B0">
      <w:pPr>
        <w:pStyle w:val="Textbody"/>
        <w:rPr>
          <w:rFonts w:hint="eastAsia"/>
        </w:rPr>
      </w:pPr>
      <w:r>
        <w:t>En effet, les décisions publiques ne se déroulent pas dans un environnement instantané ; les individus observent, échangent et adaptent leurs perceptions.</w:t>
      </w:r>
    </w:p>
    <w:p w14:paraId="5360A466" w14:textId="77777777" w:rsidR="00A847FA" w:rsidRDefault="009F33B0">
      <w:pPr>
        <w:pStyle w:val="Textbody"/>
        <w:rPr>
          <w:rFonts w:hint="eastAsia"/>
        </w:rPr>
      </w:pPr>
      <w:r>
        <w:lastRenderedPageBreak/>
        <w:t>Afin d’y parvenir, il faut reconsidérer certaines variables :</w:t>
      </w:r>
    </w:p>
    <w:p w14:paraId="3D8FC1E9" w14:textId="77777777" w:rsidR="00A847FA" w:rsidRDefault="009F33B0">
      <w:pPr>
        <w:pStyle w:val="Textbody"/>
        <w:rPr>
          <w:rFonts w:hint="eastAsia"/>
        </w:rPr>
      </w:pPr>
      <w:r>
        <w:tab/>
        <w:t>-V</w:t>
      </w:r>
      <w:r>
        <w:rPr>
          <w:vertAlign w:val="subscript"/>
        </w:rPr>
        <w:t>i</w:t>
      </w:r>
      <w:r>
        <w:t xml:space="preserve"> devient V</w:t>
      </w:r>
      <w:r>
        <w:rPr>
          <w:vertAlign w:val="subscript"/>
        </w:rPr>
        <w:t>i</w:t>
      </w:r>
      <w:r>
        <w:t>(t) : avec V</w:t>
      </w:r>
      <w:r>
        <w:rPr>
          <w:vertAlign w:val="subscript"/>
        </w:rPr>
        <w:t>i</w:t>
      </w:r>
      <w:r>
        <w:t>(t + 1) = V</w:t>
      </w:r>
      <w:r>
        <w:rPr>
          <w:vertAlign w:val="subscript"/>
        </w:rPr>
        <w:t>i</w:t>
      </w:r>
      <w:r>
        <w:t>(t) + ßA(t) où :</w:t>
      </w:r>
    </w:p>
    <w:p w14:paraId="4F0ECDDA" w14:textId="77777777" w:rsidR="00A847FA" w:rsidRDefault="009F33B0">
      <w:pPr>
        <w:pStyle w:val="Textbody"/>
        <w:rPr>
          <w:rFonts w:hint="eastAsia"/>
        </w:rPr>
      </w:pPr>
      <w:r>
        <w:tab/>
      </w:r>
      <w:r>
        <w:tab/>
        <w:t>- A(t) est la proportion d’adoptants autour de l’agent</w:t>
      </w:r>
    </w:p>
    <w:p w14:paraId="05FC059B" w14:textId="77777777" w:rsidR="00A847FA" w:rsidRDefault="009F33B0">
      <w:pPr>
        <w:pStyle w:val="Textbody"/>
        <w:rPr>
          <w:rFonts w:hint="eastAsia"/>
        </w:rPr>
      </w:pPr>
      <w:r>
        <w:tab/>
      </w:r>
      <w:r>
        <w:tab/>
        <w:t>- ß est l’influence sociale</w:t>
      </w:r>
    </w:p>
    <w:p w14:paraId="306FC3E1" w14:textId="77777777" w:rsidR="00A847FA" w:rsidRDefault="009F33B0">
      <w:pPr>
        <w:pStyle w:val="Textbody"/>
        <w:rPr>
          <w:rFonts w:hint="eastAsia"/>
        </w:rPr>
      </w:pPr>
      <w:r>
        <w:tab/>
        <w:t>- θ</w:t>
      </w:r>
      <w:r>
        <w:rPr>
          <w:vertAlign w:val="subscript"/>
        </w:rPr>
        <w:t>i</w:t>
      </w:r>
      <w:r>
        <w:t xml:space="preserve"> devient θ</w:t>
      </w:r>
      <w:r>
        <w:rPr>
          <w:vertAlign w:val="subscript"/>
        </w:rPr>
        <w:t>i</w:t>
      </w:r>
      <w:r>
        <w:t>(t) : avec θ</w:t>
      </w:r>
      <w:r>
        <w:rPr>
          <w:vertAlign w:val="subscript"/>
        </w:rPr>
        <w:t>i</w:t>
      </w:r>
      <w:r>
        <w:t>(t + 1) = θ</w:t>
      </w:r>
      <w:r>
        <w:rPr>
          <w:vertAlign w:val="subscript"/>
        </w:rPr>
        <w:t>i</w:t>
      </w:r>
      <w:r>
        <w:t>(t) + δR</w:t>
      </w:r>
      <w:r>
        <w:rPr>
          <w:vertAlign w:val="subscript"/>
        </w:rPr>
        <w:t>i</w:t>
      </w:r>
      <w:r>
        <w:t>(t) où :</w:t>
      </w:r>
    </w:p>
    <w:p w14:paraId="4ABA6DE6" w14:textId="77777777" w:rsidR="00A847FA" w:rsidRDefault="009F33B0">
      <w:pPr>
        <w:pStyle w:val="Textbody"/>
        <w:rPr>
          <w:rFonts w:hint="eastAsia"/>
        </w:rPr>
      </w:pPr>
      <w:r>
        <w:tab/>
      </w:r>
      <w:r>
        <w:tab/>
        <w:t>- R</w:t>
      </w:r>
      <w:r>
        <w:rPr>
          <w:vertAlign w:val="subscript"/>
        </w:rPr>
        <w:t>i</w:t>
      </w:r>
      <w:r>
        <w:t>(t) est l’exposition à des messages vus comme contraignants</w:t>
      </w:r>
    </w:p>
    <w:p w14:paraId="6D16DE41" w14:textId="77777777" w:rsidR="00A847FA" w:rsidRDefault="009F33B0">
      <w:pPr>
        <w:pStyle w:val="Textbody"/>
        <w:rPr>
          <w:rFonts w:hint="eastAsia"/>
        </w:rPr>
      </w:pPr>
      <w:r>
        <w:tab/>
        <w:t>- Chaque agent devient un nœud d’un réseau et possède une matrice d’influence</w:t>
      </w:r>
    </w:p>
    <w:p w14:paraId="21594B51" w14:textId="77777777" w:rsidR="00A847FA" w:rsidRDefault="009F33B0">
      <w:pPr>
        <w:pStyle w:val="Textbody"/>
        <w:rPr>
          <w:rFonts w:hint="eastAsia"/>
        </w:rPr>
      </w:pPr>
      <w:r>
        <w:tab/>
      </w:r>
      <w:r>
        <w:tab/>
        <w:t>- G(N,E) : nœud de l’agent</w:t>
      </w:r>
    </w:p>
    <w:p w14:paraId="79AB24E2" w14:textId="77777777" w:rsidR="00A847FA" w:rsidRDefault="009F33B0">
      <w:pPr>
        <w:pStyle w:val="Textbody"/>
        <w:rPr>
          <w:rFonts w:hint="eastAsia"/>
        </w:rPr>
      </w:pPr>
      <w:r>
        <w:tab/>
      </w:r>
      <w:r>
        <w:tab/>
        <w:t>- W</w:t>
      </w:r>
      <w:r>
        <w:rPr>
          <w:vertAlign w:val="subscript"/>
        </w:rPr>
        <w:t>ij </w:t>
      </w:r>
      <w:r>
        <w:t>: Matrice d’influence où W</w:t>
      </w:r>
      <w:r>
        <w:rPr>
          <w:vertAlign w:val="subscript"/>
        </w:rPr>
        <w:t>ij</w:t>
      </w:r>
      <w:r>
        <w:t xml:space="preserve"> = 1 lorsque i influence j alors :</w:t>
      </w:r>
    </w:p>
    <w:p w14:paraId="35B2F6BA" w14:textId="77777777" w:rsidR="00A847FA" w:rsidRDefault="009F33B0">
      <w:pPr>
        <w:pStyle w:val="Textbody"/>
        <w:rPr>
          <w:rFonts w:hint="eastAsia"/>
        </w:rPr>
      </w:pPr>
      <w:r>
        <w:tab/>
      </w:r>
      <w:r>
        <w:tab/>
      </w:r>
      <w:r>
        <w:tab/>
        <w:t>- A</w:t>
      </w:r>
      <w:r>
        <w:rPr>
          <w:vertAlign w:val="subscript"/>
        </w:rPr>
        <w:t>i​</w:t>
      </w:r>
      <w:r>
        <w:t>(t)=j∑​W</w:t>
      </w:r>
      <w:r>
        <w:rPr>
          <w:vertAlign w:val="subscript"/>
        </w:rPr>
        <w:t>ij​</w:t>
      </w:r>
      <w:r>
        <w:t>a</w:t>
      </w:r>
      <w:r>
        <w:rPr>
          <w:vertAlign w:val="subscript"/>
        </w:rPr>
        <w:t>j​</w:t>
      </w:r>
      <w:r>
        <w:t>(t) devient la part d’influence sociale reçue par i.</w:t>
      </w:r>
    </w:p>
    <w:p w14:paraId="2DB00487" w14:textId="77777777" w:rsidR="00A847FA" w:rsidRDefault="009F33B0">
      <w:pPr>
        <w:pStyle w:val="Textbody"/>
        <w:rPr>
          <w:rFonts w:hint="eastAsia"/>
        </w:rPr>
      </w:pPr>
      <w:r>
        <w:t>La nouvelle fonction d’utilité prend la forme :</w:t>
      </w:r>
    </w:p>
    <w:p w14:paraId="54AA8968" w14:textId="77777777" w:rsidR="00A847FA" w:rsidRDefault="009F33B0">
      <w:pPr>
        <w:pStyle w:val="Standard"/>
        <w:jc w:val="center"/>
        <w:rPr>
          <w:rFonts w:hint="eastAsia"/>
        </w:rPr>
      </w:pPr>
      <w:r>
        <w:rPr>
          <w:b/>
          <w:bCs/>
          <w:sz w:val="32"/>
          <w:szCs w:val="32"/>
        </w:rPr>
        <w:t>U</w:t>
      </w:r>
      <w:r>
        <w:rPr>
          <w:b/>
          <w:bCs/>
          <w:sz w:val="32"/>
          <w:szCs w:val="32"/>
          <w:vertAlign w:val="subscript"/>
        </w:rPr>
        <w:t>i</w:t>
      </w:r>
      <w:r>
        <w:rPr>
          <w:b/>
          <w:bCs/>
          <w:sz w:val="32"/>
          <w:szCs w:val="32"/>
        </w:rPr>
        <w:t>(t) = V</w:t>
      </w:r>
      <w:r>
        <w:rPr>
          <w:b/>
          <w:bCs/>
          <w:sz w:val="32"/>
          <w:szCs w:val="32"/>
          <w:vertAlign w:val="subscript"/>
        </w:rPr>
        <w:t>i</w:t>
      </w:r>
      <w:r>
        <w:rPr>
          <w:b/>
          <w:bCs/>
          <w:sz w:val="32"/>
          <w:szCs w:val="32"/>
        </w:rPr>
        <w:t>(t) – ( c – ø(n)) - θ</w:t>
      </w:r>
      <w:r>
        <w:rPr>
          <w:b/>
          <w:bCs/>
          <w:sz w:val="32"/>
          <w:szCs w:val="32"/>
          <w:vertAlign w:val="subscript"/>
        </w:rPr>
        <w:t>i</w:t>
      </w:r>
      <w:r>
        <w:rPr>
          <w:b/>
          <w:bCs/>
          <w:sz w:val="32"/>
          <w:szCs w:val="32"/>
        </w:rPr>
        <w:t>(t) * (n/T)</w:t>
      </w:r>
      <w:r>
        <w:rPr>
          <w:b/>
          <w:bCs/>
          <w:sz w:val="32"/>
          <w:szCs w:val="32"/>
          <w:vertAlign w:val="superscript"/>
        </w:rPr>
        <w:t>α</w:t>
      </w:r>
      <w:r>
        <w:rPr>
          <w:b/>
          <w:bCs/>
          <w:sz w:val="32"/>
          <w:szCs w:val="32"/>
        </w:rPr>
        <w:t xml:space="preserve"> + ηA</w:t>
      </w:r>
      <w:r>
        <w:rPr>
          <w:b/>
          <w:bCs/>
          <w:sz w:val="32"/>
          <w:szCs w:val="32"/>
          <w:vertAlign w:val="subscript"/>
        </w:rPr>
        <w:t>i</w:t>
      </w:r>
      <w:r>
        <w:rPr>
          <w:b/>
          <w:bCs/>
          <w:sz w:val="32"/>
          <w:szCs w:val="32"/>
        </w:rPr>
        <w:t>​(t)</w:t>
      </w:r>
    </w:p>
    <w:p w14:paraId="2D6636DF" w14:textId="77777777" w:rsidR="00A847FA" w:rsidRDefault="00A847FA">
      <w:pPr>
        <w:pStyle w:val="Standard"/>
        <w:jc w:val="center"/>
        <w:rPr>
          <w:rFonts w:hint="eastAsia"/>
          <w:b/>
          <w:bCs/>
          <w:sz w:val="32"/>
          <w:szCs w:val="32"/>
        </w:rPr>
      </w:pPr>
    </w:p>
    <w:p w14:paraId="4553C58E" w14:textId="77777777" w:rsidR="00A847FA" w:rsidRDefault="009F33B0">
      <w:pPr>
        <w:pStyle w:val="Textbody"/>
        <w:rPr>
          <w:rFonts w:hint="eastAsia"/>
        </w:rPr>
      </w:pPr>
      <w:r>
        <w:t>Où ηAi​(t) est l’effet social.</w:t>
      </w:r>
    </w:p>
    <w:p w14:paraId="39CEA96F" w14:textId="77777777" w:rsidR="00A847FA" w:rsidRDefault="009F33B0">
      <w:pPr>
        <w:pStyle w:val="Textbody"/>
        <w:rPr>
          <w:rFonts w:hint="eastAsia"/>
        </w:rPr>
      </w:pPr>
      <w:r>
        <w:t>Il est intéressant aussi de se pencher sur les simulations numériques dynamiques en intégrant des notions d’influence sur les agents et l’impact d’un réseau d’agent (sur sa forme et ses caractéristiques) sur l’adoption ou non d’une campagne dans le temps.</w:t>
      </w:r>
    </w:p>
    <w:p w14:paraId="4846E0CA" w14:textId="77777777" w:rsidR="00A847FA" w:rsidRDefault="009F33B0">
      <w:pPr>
        <w:pStyle w:val="Textbody"/>
        <w:rPr>
          <w:rFonts w:hint="eastAsia"/>
        </w:rPr>
      </w:pPr>
      <w:r>
        <w:t>Les tests avec des données réelles permettent de calibrer au mieux le modèle en fonction du type de politique publique, de la durée de celle ci, du contexte institutionnel et de la réactance observée pour la troisième étape.</w:t>
      </w:r>
    </w:p>
    <w:p w14:paraId="622A7A93" w14:textId="77777777" w:rsidR="00A847FA" w:rsidRDefault="009F33B0">
      <w:pPr>
        <w:pStyle w:val="Textbody"/>
        <w:rPr>
          <w:rFonts w:hint="eastAsia"/>
        </w:rPr>
      </w:pPr>
      <w:r>
        <w:t>Un deuxième article reprend ce modèle et ses composantes dans le détails. Plusieurs propositions autour du modèle sont développées :</w:t>
      </w:r>
    </w:p>
    <w:p w14:paraId="12AD4766" w14:textId="77777777" w:rsidR="00A847FA" w:rsidRDefault="009F33B0">
      <w:pPr>
        <w:pStyle w:val="Textbody"/>
        <w:rPr>
          <w:rFonts w:hint="eastAsia"/>
        </w:rPr>
      </w:pPr>
      <w:r>
        <w:t>- La réactance de chaque agent en fonction de l’aspect du réseau, des motivations intrinsèques et de l’effet social appliqué.</w:t>
      </w:r>
    </w:p>
    <w:p w14:paraId="1C98E069" w14:textId="77777777" w:rsidR="00A847FA" w:rsidRDefault="009F33B0">
      <w:pPr>
        <w:pStyle w:val="Textbody"/>
        <w:rPr>
          <w:rFonts w:hint="eastAsia"/>
        </w:rPr>
      </w:pPr>
      <w:r>
        <w:t>- L’agrégation des résultats sur l’ensemble d’une population avec des réseaux de nature différentes et des types de politiques de différentes natures.</w:t>
      </w:r>
    </w:p>
    <w:p w14:paraId="2FE5D325" w14:textId="77777777" w:rsidR="00A847FA" w:rsidRDefault="009F33B0">
      <w:pPr>
        <w:pStyle w:val="Textbody"/>
        <w:rPr>
          <w:rFonts w:hint="eastAsia"/>
        </w:rPr>
      </w:pPr>
      <w:r>
        <w:t>Les démonstration ainsi que les simulations et les calibrations font l’objet d’un deuxième article.</w:t>
      </w:r>
    </w:p>
    <w:p w14:paraId="1EE1F25C" w14:textId="77777777" w:rsidR="00A847FA" w:rsidRDefault="009F33B0">
      <w:pPr>
        <w:pStyle w:val="Titre3"/>
        <w:rPr>
          <w:rFonts w:hint="eastAsia"/>
        </w:rPr>
      </w:pPr>
      <w:r>
        <w:t>Expérimental</w:t>
      </w:r>
    </w:p>
    <w:p w14:paraId="5D1B6493" w14:textId="77777777" w:rsidR="00A847FA" w:rsidRDefault="009F33B0">
      <w:pPr>
        <w:pStyle w:val="Textbody"/>
        <w:rPr>
          <w:rFonts w:hint="eastAsia"/>
        </w:rPr>
      </w:pPr>
      <w:r>
        <w:t>Une troisième phase concerne des expérimentations de terrain ou en laboratoire.</w:t>
      </w:r>
    </w:p>
    <w:p w14:paraId="7EEE3B3B" w14:textId="77777777" w:rsidR="00A847FA" w:rsidRDefault="009F33B0">
      <w:pPr>
        <w:pStyle w:val="Textbody"/>
        <w:rPr>
          <w:rFonts w:hint="eastAsia"/>
        </w:rPr>
      </w:pPr>
      <w:r>
        <w:t>Nous observons en quoi le framing d’une incitation entraîne des modifications dans la part d’adoption d’un groupe. En jouant sur la manière dont l’incitation est présentée mais aussi sur son aspect forcée ou non, nous étudions le déplacement du seuil de réactance des participants. Ces expériences permettront aussi de mettre en évidence l’intérêt d’intégrer la notion de confiance institutionnelle dans le modèle pour justifier de l’importance du contexte dans la mise en place d’une politique publique.</w:t>
      </w:r>
    </w:p>
    <w:p w14:paraId="146352DA" w14:textId="77777777" w:rsidR="00A847FA" w:rsidRDefault="009F33B0">
      <w:pPr>
        <w:pStyle w:val="Textbody"/>
        <w:rPr>
          <w:rFonts w:hint="eastAsia"/>
        </w:rPr>
      </w:pPr>
      <w:r>
        <w:lastRenderedPageBreak/>
        <w:t>Ces expériences prennent la forme de jeux dans lesquels nous modifions la présentation d’une demande de différente manière (le ton, le côté obligatoire, l’encouragement ou son absence, la menace, le sujet concerné, la mise en place d’un contexte etc.)</w:t>
      </w:r>
    </w:p>
    <w:p w14:paraId="416E37F5" w14:textId="77777777" w:rsidR="00A847FA" w:rsidRDefault="009F33B0">
      <w:pPr>
        <w:pStyle w:val="Textbody"/>
        <w:rPr>
          <w:rFonts w:hint="eastAsia"/>
        </w:rPr>
      </w:pPr>
      <w:r>
        <w:t>Pour essayer de capter au mieux les croyances et les convictions des participants, la mise en place de questionnaires avant ou après les expérimentations, nous permet de juger de l’impact de certaines variables sur l’adoption ou non au sein d’un groupe. Parmi ces questions, nous pouvons chercher à connaître la confiance des participants dans les institutions (ou ici l’organisateur de l’expérimentation), l’orientation politique, le besoin d’autonomie ou même la perception morale.</w:t>
      </w:r>
    </w:p>
    <w:p w14:paraId="3C6585C6" w14:textId="77777777" w:rsidR="00A847FA" w:rsidRDefault="009F33B0">
      <w:pPr>
        <w:pStyle w:val="Textbody"/>
        <w:rPr>
          <w:rFonts w:hint="eastAsia"/>
        </w:rPr>
      </w:pPr>
      <w:r>
        <w:t>Une autre approche est de tester en situation réelle la mise en place d’une campagne ou d’une politique publique et de voir comment le modèle anticipe la part de la réactance dans la population. Le modèle sera utilisé pour estimer la meilleure solution et ses variantes (dynamique et statiques) permettent de mettre en avant quelle politique est la mieux adaptée à une politique publique.</w:t>
      </w:r>
    </w:p>
    <w:p w14:paraId="1DC9D99E" w14:textId="77777777" w:rsidR="00A847FA" w:rsidRDefault="009F33B0">
      <w:pPr>
        <w:pStyle w:val="Textbody"/>
        <w:rPr>
          <w:rFonts w:hint="eastAsia"/>
        </w:rPr>
      </w:pPr>
      <w:r>
        <w:t>Les différentes expérimentations et leurs résultats font l’objet du troisième et dernier article dans lequel nous évaluerons le modèle sur les travaux menés en laboratoire et en situation réelle.</w:t>
      </w:r>
    </w:p>
    <w:p w14:paraId="1A3FC1D7" w14:textId="77777777" w:rsidR="007C5714" w:rsidRDefault="007C5714">
      <w:pPr>
        <w:pStyle w:val="Textbody"/>
        <w:rPr>
          <w:b/>
          <w:bCs/>
        </w:rPr>
      </w:pPr>
    </w:p>
    <w:p w14:paraId="289941A5" w14:textId="23D1A175" w:rsidR="00A847FA" w:rsidRDefault="009F33B0" w:rsidP="00745FF1">
      <w:pPr>
        <w:pStyle w:val="Textbody"/>
        <w:pBdr>
          <w:top w:val="single" w:sz="4" w:space="1" w:color="auto"/>
          <w:left w:val="single" w:sz="4" w:space="4" w:color="auto"/>
          <w:bottom w:val="single" w:sz="4" w:space="1" w:color="auto"/>
          <w:right w:val="single" w:sz="4" w:space="4" w:color="auto"/>
        </w:pBdr>
        <w:rPr>
          <w:rFonts w:hint="eastAsia"/>
          <w:b/>
          <w:bCs/>
        </w:rPr>
      </w:pPr>
      <w:r>
        <w:rPr>
          <w:b/>
          <w:bCs/>
        </w:rPr>
        <w:t xml:space="preserve">Commentaires </w:t>
      </w:r>
      <w:r w:rsidR="007C5714">
        <w:rPr>
          <w:b/>
          <w:bCs/>
        </w:rPr>
        <w:t>généraux</w:t>
      </w:r>
    </w:p>
    <w:p w14:paraId="7E93284B" w14:textId="71455E3F" w:rsidR="00E62F7D" w:rsidRDefault="009F33B0" w:rsidP="00745FF1">
      <w:pPr>
        <w:pStyle w:val="Textbody"/>
        <w:pBdr>
          <w:top w:val="single" w:sz="4" w:space="1" w:color="auto"/>
          <w:left w:val="single" w:sz="4" w:space="4" w:color="auto"/>
          <w:bottom w:val="single" w:sz="4" w:space="1" w:color="auto"/>
          <w:right w:val="single" w:sz="4" w:space="4" w:color="auto"/>
        </w:pBdr>
        <w:rPr>
          <w:rFonts w:ascii="Cambria Math" w:hAnsi="Cambria Math"/>
        </w:rPr>
      </w:pPr>
      <w:r w:rsidRPr="00D657B1">
        <w:rPr>
          <w:rFonts w:ascii="Cambria Math" w:hAnsi="Cambria Math"/>
        </w:rPr>
        <w:t xml:space="preserve">Le projet de recherche est intéressant et ambitieux. Le modèle </w:t>
      </w:r>
      <w:r w:rsidR="00CB0F4E">
        <w:rPr>
          <w:rFonts w:ascii="Cambria Math" w:hAnsi="Cambria Math"/>
        </w:rPr>
        <w:t xml:space="preserve">statique </w:t>
      </w:r>
      <w:r w:rsidRPr="00D657B1">
        <w:rPr>
          <w:rFonts w:ascii="Cambria Math" w:hAnsi="Cambria Math"/>
        </w:rPr>
        <w:t>propos</w:t>
      </w:r>
      <w:r w:rsidR="00D15DAB">
        <w:rPr>
          <w:rFonts w:ascii="Cambria Math" w:hAnsi="Cambria Math"/>
        </w:rPr>
        <w:t>é</w:t>
      </w:r>
      <w:r w:rsidRPr="00D657B1">
        <w:rPr>
          <w:rFonts w:ascii="Cambria Math" w:hAnsi="Cambria Math"/>
        </w:rPr>
        <w:t xml:space="preserve"> est exploratoire et utile pour une appr</w:t>
      </w:r>
      <w:r w:rsidR="00D657B1">
        <w:rPr>
          <w:rFonts w:ascii="Cambria Math" w:hAnsi="Cambria Math"/>
        </w:rPr>
        <w:t>é</w:t>
      </w:r>
      <w:r w:rsidRPr="00D657B1">
        <w:rPr>
          <w:rFonts w:ascii="Cambria Math" w:hAnsi="Cambria Math"/>
        </w:rPr>
        <w:t>ciation num</w:t>
      </w:r>
      <w:r w:rsidR="00D657B1">
        <w:rPr>
          <w:rFonts w:ascii="Cambria Math" w:hAnsi="Cambria Math"/>
        </w:rPr>
        <w:t>é</w:t>
      </w:r>
      <w:r w:rsidRPr="00D657B1">
        <w:rPr>
          <w:rFonts w:ascii="Cambria Math" w:hAnsi="Cambria Math"/>
        </w:rPr>
        <w:t>rique de l’effet de la r</w:t>
      </w:r>
      <w:r w:rsidR="00D657B1">
        <w:rPr>
          <w:rFonts w:ascii="Cambria Math" w:hAnsi="Cambria Math"/>
        </w:rPr>
        <w:t>é</w:t>
      </w:r>
      <w:r w:rsidRPr="00D657B1">
        <w:rPr>
          <w:rFonts w:ascii="Cambria Math" w:hAnsi="Cambria Math"/>
        </w:rPr>
        <w:t>actance psychologique sur les d</w:t>
      </w:r>
      <w:r w:rsidR="00D657B1">
        <w:rPr>
          <w:rFonts w:ascii="Cambria Math" w:hAnsi="Cambria Math"/>
        </w:rPr>
        <w:t>é</w:t>
      </w:r>
      <w:r w:rsidRPr="00D657B1">
        <w:rPr>
          <w:rFonts w:ascii="Cambria Math" w:hAnsi="Cambria Math"/>
        </w:rPr>
        <w:t>cisions d’agents économiques</w:t>
      </w:r>
      <w:r w:rsidR="007C5714">
        <w:rPr>
          <w:rFonts w:ascii="Cambria Math" w:hAnsi="Cambria Math"/>
        </w:rPr>
        <w:t>. Les variables proposées du modèle doivent cependant être mieux définis, idéalement en faisant référence aux études déjà réalisées, afin de permettre leur estimation et identification à partir des réponses aux questionnaires envisagés.</w:t>
      </w:r>
      <w:r w:rsidR="00E62F7D">
        <w:rPr>
          <w:rFonts w:ascii="Cambria Math" w:hAnsi="Cambria Math"/>
        </w:rPr>
        <w:t xml:space="preserve"> L’article de Granulo, Fuchs et Böhm (2025, PNAS) (et ceux cités) pourrait être une référence intéressante à lire.</w:t>
      </w:r>
    </w:p>
    <w:p w14:paraId="1FF87E75" w14:textId="25D6F150" w:rsidR="00CB0F4E" w:rsidRDefault="00CB0F4E" w:rsidP="00745FF1">
      <w:pPr>
        <w:pStyle w:val="Textbody"/>
        <w:pBdr>
          <w:top w:val="single" w:sz="4" w:space="1" w:color="auto"/>
          <w:left w:val="single" w:sz="4" w:space="4" w:color="auto"/>
          <w:bottom w:val="single" w:sz="4" w:space="1" w:color="auto"/>
          <w:right w:val="single" w:sz="4" w:space="4" w:color="auto"/>
        </w:pBdr>
        <w:rPr>
          <w:rFonts w:ascii="Cambria Math" w:hAnsi="Cambria Math"/>
        </w:rPr>
      </w:pPr>
      <w:r>
        <w:rPr>
          <w:rFonts w:ascii="Cambria Math" w:hAnsi="Cambria Math"/>
        </w:rPr>
        <w:t xml:space="preserve">L’extension à un modèle dynamique et l’approche expérimentale proposées sont aussi intéressantes mais il serait bon de documenter ce qui a déjà été fait dans le domaine afin de mieux positionner votre projet. </w:t>
      </w:r>
    </w:p>
    <w:p w14:paraId="341871EA" w14:textId="4F62E503" w:rsidR="00745FF1" w:rsidRDefault="00E62F7D" w:rsidP="00745FF1">
      <w:pPr>
        <w:pStyle w:val="Textbody"/>
        <w:pBdr>
          <w:top w:val="single" w:sz="4" w:space="1" w:color="auto"/>
          <w:left w:val="single" w:sz="4" w:space="4" w:color="auto"/>
          <w:bottom w:val="single" w:sz="4" w:space="1" w:color="auto"/>
          <w:right w:val="single" w:sz="4" w:space="4" w:color="auto"/>
        </w:pBdr>
        <w:rPr>
          <w:rFonts w:ascii="Cambria Math" w:hAnsi="Cambria Math"/>
        </w:rPr>
      </w:pPr>
      <w:r>
        <w:rPr>
          <w:rFonts w:ascii="Cambria Math" w:hAnsi="Cambria Math"/>
        </w:rPr>
        <w:t>Je vous joint ci-dessous le résultat de deux prompts ChatGPT demandant de citer les articles théoriques, empiriques et expérimentaux sur la notion de réactance de Brehm</w:t>
      </w:r>
      <w:r w:rsidR="00A510B5">
        <w:rPr>
          <w:rFonts w:ascii="Cambria Math" w:hAnsi="Cambria Math"/>
        </w:rPr>
        <w:t xml:space="preserve"> </w:t>
      </w:r>
      <w:r>
        <w:rPr>
          <w:rFonts w:ascii="Cambria Math" w:hAnsi="Cambria Math"/>
        </w:rPr>
        <w:t>(1966) qui pourraient aussi être utiles.</w:t>
      </w:r>
    </w:p>
    <w:p w14:paraId="6CC076D3" w14:textId="63E1F188" w:rsidR="005C7698" w:rsidRPr="005C7698" w:rsidRDefault="005C7698" w:rsidP="005C7698">
      <w:pPr>
        <w:pStyle w:val="Textbody"/>
        <w:rPr>
          <w:rFonts w:ascii="Cambria Math" w:hAnsi="Cambria Math"/>
        </w:rPr>
      </w:pPr>
      <w:r w:rsidRPr="005C7698">
        <w:rPr>
          <w:rFonts w:ascii="Cambria Math" w:hAnsi="Cambria Math"/>
        </w:rPr>
        <w:pict w14:anchorId="06FD33EA">
          <v:rect id="_x0000_i1025" style="width:0;height:1.5pt" o:hralign="center" o:hrstd="t" o:hr="t" fillcolor="#a0a0a0" stroked="f"/>
        </w:pict>
      </w:r>
    </w:p>
    <w:p w14:paraId="2E9B797C"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Below is a structured overview of the research literature stemming from Brehm's (1966) theory of psychological reactance, sorted into your three requested categories. A caveat up front: the theoretical/empirical/experimental line is somewhat porous — many papers combine two or three modes — so I've placed each work according to its primary contribution, and flagged the overlaps where they matter.</w:t>
      </w:r>
    </w:p>
    <w:p w14:paraId="1D905534" w14:textId="77777777" w:rsidR="005C7698" w:rsidRPr="005C7698" w:rsidRDefault="005C7698" w:rsidP="005C7698">
      <w:pPr>
        <w:pStyle w:val="Textbody"/>
        <w:rPr>
          <w:rFonts w:ascii="Cambria Math" w:hAnsi="Cambria Math"/>
          <w:b/>
          <w:bCs/>
          <w:lang w:val="en-US"/>
        </w:rPr>
      </w:pPr>
      <w:r w:rsidRPr="005C7698">
        <w:rPr>
          <w:rFonts w:ascii="Cambria Math" w:hAnsi="Cambria Math"/>
          <w:b/>
          <w:bCs/>
          <w:lang w:val="en-US"/>
        </w:rPr>
        <w:t>Theoretical / conceptual work</w:t>
      </w:r>
    </w:p>
    <w:p w14:paraId="4521667C"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These are the foundational statements and the reviews that refine, criticize, or extend the construct without generating new data of their own.</w:t>
      </w:r>
    </w:p>
    <w:p w14:paraId="2D657E89"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lastRenderedPageBreak/>
        <w:t xml:space="preserve">The anchor is of course Brehm, J. W. (1966), </w:t>
      </w:r>
      <w:r w:rsidRPr="005C7698">
        <w:rPr>
          <w:rFonts w:ascii="Cambria Math" w:hAnsi="Cambria Math"/>
          <w:i/>
          <w:iCs/>
          <w:lang w:val="en-US"/>
        </w:rPr>
        <w:t>A Theory of Psychological Reactance</w:t>
      </w:r>
      <w:r w:rsidRPr="005C7698">
        <w:rPr>
          <w:rFonts w:ascii="Cambria Math" w:hAnsi="Cambria Math"/>
          <w:lang w:val="en-US"/>
        </w:rPr>
        <w:t xml:space="preserve">, New York: Academic Press, followed by the major book-length restatement, Brehm, S. S. &amp; Brehm, J. W. (1981), </w:t>
      </w:r>
      <w:r w:rsidRPr="005C7698">
        <w:rPr>
          <w:rFonts w:ascii="Cambria Math" w:hAnsi="Cambria Math"/>
          <w:i/>
          <w:iCs/>
          <w:lang w:val="en-US"/>
        </w:rPr>
        <w:t>Psychological Reactance: A Theory of Freedom and Control</w:t>
      </w:r>
      <w:r w:rsidRPr="005C7698">
        <w:rPr>
          <w:rFonts w:ascii="Cambria Math" w:hAnsi="Cambria Math"/>
          <w:lang w:val="en-US"/>
        </w:rPr>
        <w:t xml:space="preserve"> (Academic Press), which broadened the theory's scope considerably.</w:t>
      </w:r>
    </w:p>
    <w:p w14:paraId="29B41F4B"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The most useful modern conceptual reviews are:</w:t>
      </w:r>
    </w:p>
    <w:p w14:paraId="7E214BB2" w14:textId="77777777" w:rsidR="005C7698" w:rsidRPr="005C7698" w:rsidRDefault="005C7698" w:rsidP="005C7698">
      <w:pPr>
        <w:pStyle w:val="Textbody"/>
        <w:numPr>
          <w:ilvl w:val="0"/>
          <w:numId w:val="2"/>
        </w:numPr>
        <w:rPr>
          <w:rFonts w:ascii="Cambria Math" w:hAnsi="Cambria Math"/>
          <w:lang w:val="en-US"/>
        </w:rPr>
      </w:pPr>
      <w:r w:rsidRPr="005C7698">
        <w:rPr>
          <w:rFonts w:ascii="Cambria Math" w:hAnsi="Cambria Math"/>
          <w:b/>
          <w:bCs/>
          <w:lang w:val="de-DE"/>
        </w:rPr>
        <w:t>Miron, A. M. &amp; Brehm, J. W. (2006), "Reactance Theory — 40 Years Later"</w:t>
      </w:r>
      <w:r w:rsidRPr="005C7698">
        <w:rPr>
          <w:rFonts w:ascii="Cambria Math" w:hAnsi="Cambria Math"/>
          <w:lang w:val="de-DE"/>
        </w:rPr>
        <w:t xml:space="preserve"> (</w:t>
      </w:r>
      <w:r w:rsidRPr="005C7698">
        <w:rPr>
          <w:rFonts w:ascii="Cambria Math" w:hAnsi="Cambria Math"/>
          <w:i/>
          <w:iCs/>
          <w:lang w:val="de-DE"/>
        </w:rPr>
        <w:t>Zeitschrift für Sozialpsychologie</w:t>
      </w:r>
      <w:r w:rsidRPr="005C7698">
        <w:rPr>
          <w:rFonts w:ascii="Cambria Math" w:hAnsi="Cambria Math"/>
          <w:lang w:val="de-DE"/>
        </w:rPr>
        <w:t xml:space="preserve">, 37(1)). </w:t>
      </w:r>
      <w:r w:rsidRPr="005C7698">
        <w:rPr>
          <w:rFonts w:ascii="Cambria Math" w:hAnsi="Cambria Math"/>
          <w:lang w:val="en-US"/>
        </w:rPr>
        <w:t>This reviews the basic assumptions Brehm formulated in 1966 and samples directions of reactance research in social psychology over the following 40 years, concluding that despite impressive development, more work lies ahead. Notably, this is also where the authors question whether reactance is stable enough to be treated as a trait.</w:t>
      </w:r>
    </w:p>
    <w:p w14:paraId="5E61E87E" w14:textId="77777777" w:rsidR="005C7698" w:rsidRPr="005C7698" w:rsidRDefault="005C7698" w:rsidP="005C7698">
      <w:pPr>
        <w:pStyle w:val="Textbody"/>
        <w:numPr>
          <w:ilvl w:val="0"/>
          <w:numId w:val="2"/>
        </w:numPr>
        <w:rPr>
          <w:rFonts w:ascii="Cambria Math" w:hAnsi="Cambria Math"/>
          <w:lang w:val="en-US"/>
        </w:rPr>
      </w:pPr>
      <w:r w:rsidRPr="005C7698">
        <w:rPr>
          <w:rFonts w:ascii="Cambria Math" w:hAnsi="Cambria Math"/>
          <w:b/>
          <w:bCs/>
          <w:lang w:val="de-DE"/>
        </w:rPr>
        <w:t>Steindl, Jonas, Sittenthaler, Traut-Mattausch, Greenberg &amp; Brehm (2015), "Understanding Psychological Reactance."</w:t>
      </w:r>
      <w:r w:rsidRPr="005C7698">
        <w:rPr>
          <w:rFonts w:ascii="Cambria Math" w:hAnsi="Cambria Math"/>
          <w:lang w:val="de-DE"/>
        </w:rPr>
        <w:t xml:space="preserve"> </w:t>
      </w:r>
      <w:r w:rsidRPr="005C7698">
        <w:rPr>
          <w:rFonts w:ascii="Cambria Math" w:hAnsi="Cambria Math"/>
          <w:lang w:val="en-US"/>
        </w:rPr>
        <w:t>Since Brehm first proposed reactance theory in 1966, many studies have explored the phenomenon, which Miron and Brehm reviewed in 2006; this paper presents an overview of research done since then and closes with suggestions for future research.</w:t>
      </w:r>
    </w:p>
    <w:p w14:paraId="6D211B4A" w14:textId="77777777" w:rsidR="005C7698" w:rsidRPr="005C7698" w:rsidRDefault="005C7698" w:rsidP="005C7698">
      <w:pPr>
        <w:pStyle w:val="Textbody"/>
        <w:numPr>
          <w:ilvl w:val="0"/>
          <w:numId w:val="2"/>
        </w:numPr>
        <w:rPr>
          <w:rFonts w:ascii="Cambria Math" w:hAnsi="Cambria Math"/>
          <w:lang w:val="en-US"/>
        </w:rPr>
      </w:pPr>
      <w:r w:rsidRPr="005C7698">
        <w:rPr>
          <w:rFonts w:ascii="Cambria Math" w:hAnsi="Cambria Math"/>
          <w:b/>
          <w:bCs/>
          <w:lang w:val="en-US"/>
        </w:rPr>
        <w:t>Rosenberg, B. D. &amp; Siegel, J. T. (2018), "A 50-year review of psychological reactance theory: Do not read this article"</w:t>
      </w:r>
      <w:r w:rsidRPr="005C7698">
        <w:rPr>
          <w:rFonts w:ascii="Cambria Math" w:hAnsi="Cambria Math"/>
          <w:lang w:val="en-US"/>
        </w:rPr>
        <w:t xml:space="preserve"> (</w:t>
      </w:r>
      <w:r w:rsidRPr="005C7698">
        <w:rPr>
          <w:rFonts w:ascii="Cambria Math" w:hAnsi="Cambria Math"/>
          <w:i/>
          <w:iCs/>
          <w:lang w:val="en-US"/>
        </w:rPr>
        <w:t>Motivation Science</w:t>
      </w:r>
      <w:r w:rsidRPr="005C7698">
        <w:rPr>
          <w:rFonts w:ascii="Cambria Math" w:hAnsi="Cambria Math"/>
          <w:lang w:val="en-US"/>
        </w:rPr>
        <w:t>). This is the most comprehensive recent synthesis, organizing the field into "waves" and mapping the reconceptualization of reactance from a purely transient state to something with a trait dimension.</w:t>
      </w:r>
    </w:p>
    <w:p w14:paraId="2A20C6D7" w14:textId="77777777" w:rsidR="005C7698" w:rsidRPr="005C7698" w:rsidRDefault="005C7698" w:rsidP="005C7698">
      <w:pPr>
        <w:pStyle w:val="Textbody"/>
        <w:numPr>
          <w:ilvl w:val="0"/>
          <w:numId w:val="2"/>
        </w:numPr>
        <w:rPr>
          <w:rFonts w:ascii="Cambria Math" w:hAnsi="Cambria Math"/>
          <w:lang w:val="en-US"/>
        </w:rPr>
      </w:pPr>
      <w:r w:rsidRPr="005C7698">
        <w:rPr>
          <w:rFonts w:ascii="Cambria Math" w:hAnsi="Cambria Math"/>
          <w:b/>
          <w:bCs/>
          <w:lang w:val="en-US"/>
        </w:rPr>
        <w:t>Siegel, J. T. and colleagues (2025), "Psychological Reactance Theory: An Introduction and Overview."</w:t>
      </w:r>
      <w:r w:rsidRPr="005C7698">
        <w:rPr>
          <w:rFonts w:ascii="Cambria Math" w:hAnsi="Cambria Math"/>
          <w:lang w:val="en-US"/>
        </w:rPr>
        <w:t xml:space="preserve"> This frames PRT — initially proposed nearly 60 years ago — as at its core a motivational framework explaining how freedom threats prompt a suite of responses. The same collection contains newer theoretical extensions, e.g. Schumpe and Leander (2025), who draw on goal systems theory to provide an explanatory mechanism for PRT's prediction that a choice becomes more attractive after it is threatened or eliminated.</w:t>
      </w:r>
    </w:p>
    <w:p w14:paraId="467901BE"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 xml:space="preserve">A key conceptual bridge to your own field is </w:t>
      </w:r>
      <w:r w:rsidRPr="005C7698">
        <w:rPr>
          <w:rFonts w:ascii="Cambria Math" w:hAnsi="Cambria Math"/>
          <w:b/>
          <w:bCs/>
          <w:lang w:val="en-US"/>
        </w:rPr>
        <w:t>Clee, M. A. &amp; Wicklund, R. A. (1980), "Consumer Behavior and Psychological Reactance"</w:t>
      </w:r>
      <w:r w:rsidRPr="005C7698">
        <w:rPr>
          <w:rFonts w:ascii="Cambria Math" w:hAnsi="Cambria Math"/>
          <w:lang w:val="en-US"/>
        </w:rPr>
        <w:t xml:space="preserve"> (</w:t>
      </w:r>
      <w:r w:rsidRPr="005C7698">
        <w:rPr>
          <w:rFonts w:ascii="Cambria Math" w:hAnsi="Cambria Math"/>
          <w:i/>
          <w:iCs/>
          <w:lang w:val="en-US"/>
        </w:rPr>
        <w:t>Journal of Consumer Research</w:t>
      </w:r>
      <w:r w:rsidRPr="005C7698">
        <w:rPr>
          <w:rFonts w:ascii="Cambria Math" w:hAnsi="Cambria Math"/>
          <w:lang w:val="en-US"/>
        </w:rPr>
        <w:t>, 6(4)). It reviews the theory in terms of its applicability to consumer behavior, casting promotional influence, manipulative advertisements, product unavailability, and government regulations all as potentially freedom-threatening events. This is largely a conceptual/framing piece rather than a data paper, and it's the classic entry point for economists and marketers.</w:t>
      </w:r>
    </w:p>
    <w:p w14:paraId="2B44B57C" w14:textId="77777777" w:rsidR="005C7698" w:rsidRPr="005C7698" w:rsidRDefault="005C7698" w:rsidP="005C7698">
      <w:pPr>
        <w:pStyle w:val="Textbody"/>
        <w:rPr>
          <w:rFonts w:ascii="Cambria Math" w:hAnsi="Cambria Math"/>
          <w:b/>
          <w:bCs/>
          <w:lang w:val="en-US"/>
        </w:rPr>
      </w:pPr>
      <w:r w:rsidRPr="005C7698">
        <w:rPr>
          <w:rFonts w:ascii="Cambria Math" w:hAnsi="Cambria Math"/>
          <w:b/>
          <w:bCs/>
          <w:lang w:val="en-US"/>
        </w:rPr>
        <w:t>Empirical (measurement, correlational, survey / observational) work</w:t>
      </w:r>
    </w:p>
    <w:p w14:paraId="05F31943"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 xml:space="preserve">This strand is dominated by the effort to </w:t>
      </w:r>
      <w:r w:rsidRPr="005C7698">
        <w:rPr>
          <w:rFonts w:ascii="Cambria Math" w:hAnsi="Cambria Math"/>
          <w:i/>
          <w:iCs/>
          <w:lang w:val="en-US"/>
        </w:rPr>
        <w:t>measure</w:t>
      </w:r>
      <w:r w:rsidRPr="005C7698">
        <w:rPr>
          <w:rFonts w:ascii="Cambria Math" w:hAnsi="Cambria Math"/>
          <w:lang w:val="en-US"/>
        </w:rPr>
        <w:t xml:space="preserve"> reactance — which Brehm and Brehm (1981) originally argued was impossible — and to relate it to individual differences and outcomes.</w:t>
      </w:r>
    </w:p>
    <w:p w14:paraId="5A1CD031"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The two lineages here are trait measurement and state measurement:</w:t>
      </w:r>
    </w:p>
    <w:p w14:paraId="1E6BD220" w14:textId="77777777" w:rsidR="005C7698" w:rsidRPr="005C7698" w:rsidRDefault="005C7698" w:rsidP="005C7698">
      <w:pPr>
        <w:pStyle w:val="Textbody"/>
        <w:rPr>
          <w:rFonts w:ascii="Cambria Math" w:hAnsi="Cambria Math"/>
          <w:lang w:val="en-US"/>
        </w:rPr>
      </w:pPr>
      <w:r w:rsidRPr="005C7698">
        <w:rPr>
          <w:rFonts w:ascii="Cambria Math" w:hAnsi="Cambria Math"/>
          <w:b/>
          <w:bCs/>
          <w:lang w:val="en-US"/>
        </w:rPr>
        <w:lastRenderedPageBreak/>
        <w:t>Trait reactance — the Hong scale lineage.</w:t>
      </w:r>
      <w:r w:rsidRPr="005C7698">
        <w:rPr>
          <w:rFonts w:ascii="Cambria Math" w:hAnsi="Cambria Math"/>
          <w:lang w:val="en-US"/>
        </w:rPr>
        <w:t xml:space="preserve"> Hong, S.-M. &amp; Page, S. (1989) developed the original scale; Hong, S.-M. (1992), "Hong's Psychological Reactance Scale: A Further Factor Analytic Validation" (</w:t>
      </w:r>
      <w:r w:rsidRPr="005C7698">
        <w:rPr>
          <w:rFonts w:ascii="Cambria Math" w:hAnsi="Cambria Math"/>
          <w:i/>
          <w:iCs/>
          <w:lang w:val="en-US"/>
        </w:rPr>
        <w:t>Psychological Reports</w:t>
      </w:r>
      <w:r w:rsidRPr="005C7698">
        <w:rPr>
          <w:rFonts w:ascii="Cambria Math" w:hAnsi="Cambria Math"/>
          <w:lang w:val="en-US"/>
        </w:rPr>
        <w:t xml:space="preserve">, 70) validated it, where data from 462 members of the general public yielded a four-factor solution almost identical to earlier college-student findings, indicating factorial stability. The refined </w:t>
      </w:r>
      <w:r w:rsidRPr="005C7698">
        <w:rPr>
          <w:rFonts w:ascii="Cambria Math" w:hAnsi="Cambria Math"/>
          <w:b/>
          <w:bCs/>
          <w:lang w:val="en-US"/>
        </w:rPr>
        <w:t>Hong &amp; Faedda (1996)</w:t>
      </w:r>
      <w:r w:rsidRPr="005C7698">
        <w:rPr>
          <w:rFonts w:ascii="Cambria Math" w:hAnsi="Cambria Math"/>
          <w:lang w:val="en-US"/>
        </w:rPr>
        <w:t xml:space="preserve"> 14-item version became the standard. Subsequent psychometric work is extensive and worth citing as a cluster: </w:t>
      </w:r>
      <w:r w:rsidRPr="005C7698">
        <w:rPr>
          <w:rFonts w:ascii="Cambria Math" w:hAnsi="Cambria Math"/>
          <w:b/>
          <w:bCs/>
          <w:lang w:val="en-US"/>
        </w:rPr>
        <w:t>Thomas, Donnell &amp; Buboltz (2001)</w:t>
      </w:r>
      <w:r w:rsidRPr="005C7698">
        <w:rPr>
          <w:rFonts w:ascii="Cambria Math" w:hAnsi="Cambria Math"/>
          <w:lang w:val="en-US"/>
        </w:rPr>
        <w:t xml:space="preserve"> and later work on the HPRS's dimensionality — e.g., a study where confirmatory factor analyses on the 11-item version, using data from three studies (Ns = 188, 200, 233) of reactions to persuasive health messages, confirmed four first-order factors but showed the scale can be treated as unidimensional at the second order. Validation has since been extended to new populations, including Portuguese adolescents (Studies with N = 1,301 and N = 327), supporting a bifactor model and a Spanish version tested in a large clinical sample of 710 psychiatric outpatients, which supported a two-factor structure with affective and cognitive dimensions. A useful critical entry is the JMU construct-validity study, which found trait reactance to be negatively related to conformity, agreeableness, and conscientiousness, and positively related to entitlement.</w:t>
      </w:r>
    </w:p>
    <w:p w14:paraId="2968E5CD" w14:textId="77777777" w:rsidR="005C7698" w:rsidRPr="005C7698" w:rsidRDefault="005C7698" w:rsidP="005C7698">
      <w:pPr>
        <w:pStyle w:val="Textbody"/>
        <w:rPr>
          <w:rFonts w:ascii="Cambria Math" w:hAnsi="Cambria Math"/>
          <w:lang w:val="en-US"/>
        </w:rPr>
      </w:pPr>
      <w:r w:rsidRPr="005C7698">
        <w:rPr>
          <w:rFonts w:ascii="Cambria Math" w:hAnsi="Cambria Math"/>
          <w:b/>
          <w:bCs/>
          <w:lang w:val="en-US"/>
        </w:rPr>
        <w:t>State reactance — the "intertwined model."</w:t>
      </w:r>
      <w:r w:rsidRPr="005C7698">
        <w:rPr>
          <w:rFonts w:ascii="Cambria Math" w:hAnsi="Cambria Math"/>
          <w:lang w:val="en-US"/>
        </w:rPr>
        <w:t xml:space="preserve"> The pivotal empirical paper is </w:t>
      </w:r>
      <w:r w:rsidRPr="005C7698">
        <w:rPr>
          <w:rFonts w:ascii="Cambria Math" w:hAnsi="Cambria Math"/>
          <w:b/>
          <w:bCs/>
          <w:lang w:val="en-US"/>
        </w:rPr>
        <w:t>Dillard, J. P. &amp; Shen, L. (2005), "On the nature of reactance and its role in persuasive health communication"</w:t>
      </w:r>
      <w:r w:rsidRPr="005C7698">
        <w:rPr>
          <w:rFonts w:ascii="Cambria Math" w:hAnsi="Cambria Math"/>
          <w:lang w:val="en-US"/>
        </w:rPr>
        <w:t xml:space="preserve"> (</w:t>
      </w:r>
      <w:r w:rsidRPr="005C7698">
        <w:rPr>
          <w:rFonts w:ascii="Cambria Math" w:hAnsi="Cambria Math"/>
          <w:i/>
          <w:iCs/>
          <w:lang w:val="en-US"/>
        </w:rPr>
        <w:t>Communication Monographs</w:t>
      </w:r>
      <w:r w:rsidRPr="005C7698">
        <w:rPr>
          <w:rFonts w:ascii="Cambria Math" w:hAnsi="Cambria Math"/>
          <w:lang w:val="en-US"/>
        </w:rPr>
        <w:t>, 72). Dillard and Shen disagreed with Brehm and Brehm's (1981) position that reactance could not be measured directly and identified four ways to characterize reactance: purely cognitive (counterarguing), purely affective (anger), a parallel process, or an intertwined cognitive-affective process. Their conclusion — that reactance is not only measurable but is best operationalized as an amalgam of anger and negative cognitions — reshaped the whole empirical field. (This paper is itself experimental, so it straddles the next category too.)</w:t>
      </w:r>
    </w:p>
    <w:p w14:paraId="3844AA96"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 xml:space="preserve">Later measurement instruments in this vein include the </w:t>
      </w:r>
      <w:r w:rsidRPr="005C7698">
        <w:rPr>
          <w:rFonts w:ascii="Cambria Math" w:hAnsi="Cambria Math"/>
          <w:b/>
          <w:bCs/>
          <w:lang w:val="en-US"/>
        </w:rPr>
        <w:t>Salzburg State Reactance Scale (Sittenthaler et al., 2015)</w:t>
      </w:r>
      <w:r w:rsidRPr="005C7698">
        <w:rPr>
          <w:rFonts w:ascii="Cambria Math" w:hAnsi="Cambria Math"/>
          <w:lang w:val="en-US"/>
        </w:rPr>
        <w:t xml:space="preserve"> and the </w:t>
      </w:r>
      <w:r w:rsidRPr="005C7698">
        <w:rPr>
          <w:rFonts w:ascii="Cambria Math" w:hAnsi="Cambria Math"/>
          <w:b/>
          <w:bCs/>
          <w:lang w:val="en-US"/>
        </w:rPr>
        <w:t>Reactance to Health Warnings Scale (Hall et al., 2016)</w:t>
      </w:r>
      <w:r w:rsidRPr="005C7698">
        <w:rPr>
          <w:rFonts w:ascii="Cambria Math" w:hAnsi="Cambria Math"/>
          <w:lang w:val="en-US"/>
        </w:rPr>
        <w:t>, both of which the 50-year review discusses as attempts to address limitations of the Dillard–Shen measure, namely that it had rarely been tested outside persuasion and messaging studies or with nonstudent samples.</w:t>
      </w:r>
    </w:p>
    <w:p w14:paraId="3D51106A" w14:textId="77777777" w:rsidR="005C7698" w:rsidRPr="005C7698" w:rsidRDefault="005C7698" w:rsidP="005C7698">
      <w:pPr>
        <w:pStyle w:val="Textbody"/>
        <w:rPr>
          <w:rFonts w:ascii="Cambria Math" w:hAnsi="Cambria Math"/>
          <w:b/>
          <w:bCs/>
          <w:lang w:val="en-US"/>
        </w:rPr>
      </w:pPr>
      <w:r w:rsidRPr="005C7698">
        <w:rPr>
          <w:rFonts w:ascii="Cambria Math" w:hAnsi="Cambria Math"/>
          <w:b/>
          <w:bCs/>
          <w:lang w:val="en-US"/>
        </w:rPr>
        <w:t>Experimental work (manipulation of freedom threat)</w:t>
      </w:r>
    </w:p>
    <w:p w14:paraId="69EF76C4"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This is the largest and oldest category, going back to Brehm's own manipulations, and it's the one most relevant methodologically to experimental economics.</w:t>
      </w:r>
    </w:p>
    <w:p w14:paraId="22AC2940" w14:textId="77777777" w:rsidR="005C7698" w:rsidRPr="005C7698" w:rsidRDefault="005C7698" w:rsidP="005C7698">
      <w:pPr>
        <w:pStyle w:val="Textbody"/>
        <w:rPr>
          <w:rFonts w:ascii="Cambria Math" w:hAnsi="Cambria Math"/>
          <w:lang w:val="en-US"/>
        </w:rPr>
      </w:pPr>
      <w:r w:rsidRPr="005C7698">
        <w:rPr>
          <w:rFonts w:ascii="Cambria Math" w:hAnsi="Cambria Math"/>
          <w:b/>
          <w:bCs/>
          <w:lang w:val="en-US"/>
        </w:rPr>
        <w:t>Foundational experiments.</w:t>
      </w:r>
      <w:r w:rsidRPr="005C7698">
        <w:rPr>
          <w:rFonts w:ascii="Cambria Math" w:hAnsi="Cambria Math"/>
          <w:lang w:val="en-US"/>
        </w:rPr>
        <w:t xml:space="preserve"> Brehm's early collaborators produced the canonical demonstrations: </w:t>
      </w:r>
      <w:r w:rsidRPr="005C7698">
        <w:rPr>
          <w:rFonts w:ascii="Cambria Math" w:hAnsi="Cambria Math"/>
          <w:b/>
          <w:bCs/>
          <w:lang w:val="en-US"/>
        </w:rPr>
        <w:t>Brehm, Stires, Sensenig &amp; Shaban (1966), "The attractiveness of an eliminated choice alternative"</w:t>
      </w:r>
      <w:r w:rsidRPr="005C7698">
        <w:rPr>
          <w:rFonts w:ascii="Cambria Math" w:hAnsi="Cambria Math"/>
          <w:lang w:val="en-US"/>
        </w:rPr>
        <w:t xml:space="preserve"> (</w:t>
      </w:r>
      <w:r w:rsidRPr="005C7698">
        <w:rPr>
          <w:rFonts w:ascii="Cambria Math" w:hAnsi="Cambria Math"/>
          <w:i/>
          <w:iCs/>
          <w:lang w:val="en-US"/>
        </w:rPr>
        <w:t>Journal of Experimental Social Psychology</w:t>
      </w:r>
      <w:r w:rsidRPr="005C7698">
        <w:rPr>
          <w:rFonts w:ascii="Cambria Math" w:hAnsi="Cambria Math"/>
          <w:lang w:val="en-US"/>
        </w:rPr>
        <w:t xml:space="preserve">, 2, 301–313); and </w:t>
      </w:r>
      <w:r w:rsidRPr="005C7698">
        <w:rPr>
          <w:rFonts w:ascii="Cambria Math" w:hAnsi="Cambria Math"/>
          <w:b/>
          <w:bCs/>
          <w:lang w:val="en-US"/>
        </w:rPr>
        <w:t>Hammock, T. &amp; Brehm, J. W. (1966), "The attractiveness of choice alternatives when freedom to choose is eliminated by a social agent"</w:t>
      </w:r>
      <w:r w:rsidRPr="005C7698">
        <w:rPr>
          <w:rFonts w:ascii="Cambria Math" w:hAnsi="Cambria Math"/>
          <w:lang w:val="en-US"/>
        </w:rPr>
        <w:t xml:space="preserve"> (</w:t>
      </w:r>
      <w:r w:rsidRPr="005C7698">
        <w:rPr>
          <w:rFonts w:ascii="Cambria Math" w:hAnsi="Cambria Math"/>
          <w:i/>
          <w:iCs/>
          <w:lang w:val="en-US"/>
        </w:rPr>
        <w:t>Journal of Personality</w:t>
      </w:r>
      <w:r w:rsidRPr="005C7698">
        <w:rPr>
          <w:rFonts w:ascii="Cambria Math" w:hAnsi="Cambria Math"/>
          <w:lang w:val="en-US"/>
        </w:rPr>
        <w:t>, 34, 546–554). These establish the signature "forbidden fruit" effect where an eliminated option becomes more attractive.</w:t>
      </w:r>
    </w:p>
    <w:p w14:paraId="41B7533E" w14:textId="77777777" w:rsidR="005C7698" w:rsidRPr="005C7698" w:rsidRDefault="005C7698" w:rsidP="005C7698">
      <w:pPr>
        <w:pStyle w:val="Textbody"/>
        <w:rPr>
          <w:rFonts w:ascii="Cambria Math" w:hAnsi="Cambria Math"/>
          <w:lang w:val="en-US"/>
        </w:rPr>
      </w:pPr>
      <w:r w:rsidRPr="005C7698">
        <w:rPr>
          <w:rFonts w:ascii="Cambria Math" w:hAnsi="Cambria Math"/>
          <w:b/>
          <w:bCs/>
          <w:lang w:val="en-US"/>
        </w:rPr>
        <w:t>Persuasion / health-communication experiments.</w:t>
      </w:r>
      <w:r w:rsidRPr="005C7698">
        <w:rPr>
          <w:rFonts w:ascii="Cambria Math" w:hAnsi="Cambria Math"/>
          <w:lang w:val="en-US"/>
        </w:rPr>
        <w:t xml:space="preserve"> This is where reactance research has been most active. Beyond Dillard &amp; Shen (2005) above, the key test-and-extension is </w:t>
      </w:r>
      <w:r w:rsidRPr="005C7698">
        <w:rPr>
          <w:rFonts w:ascii="Cambria Math" w:hAnsi="Cambria Math"/>
          <w:b/>
          <w:bCs/>
          <w:lang w:val="en-US"/>
        </w:rPr>
        <w:t xml:space="preserve">Rains, S. A. &amp; </w:t>
      </w:r>
      <w:r w:rsidRPr="005C7698">
        <w:rPr>
          <w:rFonts w:ascii="Cambria Math" w:hAnsi="Cambria Math"/>
          <w:b/>
          <w:bCs/>
          <w:lang w:val="en-US"/>
        </w:rPr>
        <w:lastRenderedPageBreak/>
        <w:t>Turner, M. M. (2007), "Psychological Reactance and Persuasive Health Communication: A Test and Extension of the Intertwined Model"</w:t>
      </w:r>
      <w:r w:rsidRPr="005C7698">
        <w:rPr>
          <w:rFonts w:ascii="Cambria Math" w:hAnsi="Cambria Math"/>
          <w:lang w:val="en-US"/>
        </w:rPr>
        <w:t xml:space="preserve"> (</w:t>
      </w:r>
      <w:r w:rsidRPr="005C7698">
        <w:rPr>
          <w:rFonts w:ascii="Cambria Math" w:hAnsi="Cambria Math"/>
          <w:i/>
          <w:iCs/>
          <w:lang w:val="en-US"/>
        </w:rPr>
        <w:t>Human Communication Research</w:t>
      </w:r>
      <w:r w:rsidRPr="005C7698">
        <w:rPr>
          <w:rFonts w:ascii="Cambria Math" w:hAnsi="Cambria Math"/>
          <w:lang w:val="en-US"/>
        </w:rPr>
        <w:t>). It reports two experiments testing and extending Dillard and Shen (2005), examining the best-fitting model and testing argument quality, severity of consequences, and magnitude of the request; the intertwined cognitive-affective model was the best-fitting model, and magnitude of the request was the only variable that affected reactance. Related experimental work includes Quick &amp; Considine (2008), Quick &amp; Stephenson, and the language-intensity/controlling-language studies that show strongly worded messages ("You must quit now!") produce greater reactance and even increased desire to smoke, while milder framing ("Consider quitting") is more effective.</w:t>
      </w:r>
    </w:p>
    <w:p w14:paraId="310146F1" w14:textId="77777777" w:rsidR="005C7698" w:rsidRPr="005C7698" w:rsidRDefault="005C7698" w:rsidP="005C7698">
      <w:pPr>
        <w:pStyle w:val="Textbody"/>
        <w:rPr>
          <w:rFonts w:ascii="Cambria Math" w:hAnsi="Cambria Math"/>
          <w:lang w:val="en-US"/>
        </w:rPr>
      </w:pPr>
      <w:r w:rsidRPr="005C7698">
        <w:rPr>
          <w:rFonts w:ascii="Cambria Math" w:hAnsi="Cambria Math"/>
          <w:b/>
          <w:bCs/>
          <w:lang w:val="en-US"/>
        </w:rPr>
        <w:t>A recent thought-vs-behavior extension.</w:t>
      </w:r>
      <w:r w:rsidRPr="005C7698">
        <w:rPr>
          <w:rFonts w:ascii="Cambria Math" w:hAnsi="Cambria Math"/>
          <w:lang w:val="en-US"/>
        </w:rPr>
        <w:t xml:space="preserve"> </w:t>
      </w:r>
      <w:r w:rsidRPr="005C7698">
        <w:rPr>
          <w:rFonts w:ascii="Cambria Math" w:hAnsi="Cambria Math"/>
          <w:b/>
          <w:bCs/>
          <w:lang w:val="en-US"/>
        </w:rPr>
        <w:t>Ma, Dixon &amp; colleagues (2019), "Psychological reactance as a function of thought versus behavioral control"</w:t>
      </w:r>
      <w:r w:rsidRPr="005C7698">
        <w:rPr>
          <w:rFonts w:ascii="Cambria Math" w:hAnsi="Cambria Math"/>
          <w:lang w:val="en-US"/>
        </w:rPr>
        <w:t xml:space="preserve"> (</w:t>
      </w:r>
      <w:r w:rsidRPr="005C7698">
        <w:rPr>
          <w:rFonts w:ascii="Cambria Math" w:hAnsi="Cambria Math"/>
          <w:i/>
          <w:iCs/>
          <w:lang w:val="en-US"/>
        </w:rPr>
        <w:t>Journal of Experimental Social Psychology</w:t>
      </w:r>
      <w:r w:rsidRPr="005C7698">
        <w:rPr>
          <w:rFonts w:ascii="Cambria Math" w:hAnsi="Cambria Math"/>
          <w:lang w:val="en-US"/>
        </w:rPr>
        <w:t>). Across four studies, people experienced greater reactance toward efforts to control their thoughts than efforts to control their behaviors — a notable extension because Brehm (1966) originally conceptualized reactance as relating to threats to "behavioral freedom."</w:t>
      </w:r>
    </w:p>
    <w:p w14:paraId="190B6817" w14:textId="77777777" w:rsidR="005C7698" w:rsidRPr="005C7698" w:rsidRDefault="005C7698" w:rsidP="005C7698">
      <w:pPr>
        <w:pStyle w:val="Textbody"/>
        <w:rPr>
          <w:rFonts w:ascii="Cambria Math" w:hAnsi="Cambria Math"/>
          <w:lang w:val="en-US"/>
        </w:rPr>
      </w:pPr>
      <w:r w:rsidRPr="005C7698">
        <w:rPr>
          <w:rFonts w:ascii="Cambria Math" w:hAnsi="Cambria Math"/>
          <w:b/>
          <w:bCs/>
          <w:lang w:val="en-US"/>
        </w:rPr>
        <w:t>Experimental work closest to economics.</w:t>
      </w:r>
      <w:r w:rsidRPr="005C7698">
        <w:rPr>
          <w:rFonts w:ascii="Cambria Math" w:hAnsi="Cambria Math"/>
          <w:lang w:val="en-US"/>
        </w:rPr>
        <w:t xml:space="preserve"> Given your field, these are the ones worth pulling:</w:t>
      </w:r>
    </w:p>
    <w:p w14:paraId="65A4FA58" w14:textId="77777777" w:rsidR="005C7698" w:rsidRPr="005C7698" w:rsidRDefault="005C7698" w:rsidP="005C7698">
      <w:pPr>
        <w:pStyle w:val="Textbody"/>
        <w:numPr>
          <w:ilvl w:val="0"/>
          <w:numId w:val="3"/>
        </w:numPr>
        <w:rPr>
          <w:rFonts w:ascii="Cambria Math" w:hAnsi="Cambria Math"/>
          <w:lang w:val="en-US"/>
        </w:rPr>
      </w:pPr>
      <w:r w:rsidRPr="005C7698">
        <w:rPr>
          <w:rFonts w:ascii="Cambria Math" w:hAnsi="Cambria Math"/>
          <w:b/>
          <w:bCs/>
          <w:lang w:val="en-US"/>
        </w:rPr>
        <w:t>Fitzsimons, G. J. &amp; Lehmann, D. R. (2004), "Reactance to recommendations: When unsolicited advice yields contrary responses"</w:t>
      </w:r>
      <w:r w:rsidRPr="005C7698">
        <w:rPr>
          <w:rFonts w:ascii="Cambria Math" w:hAnsi="Cambria Math"/>
          <w:lang w:val="en-US"/>
        </w:rPr>
        <w:t xml:space="preserve"> (</w:t>
      </w:r>
      <w:r w:rsidRPr="005C7698">
        <w:rPr>
          <w:rFonts w:ascii="Cambria Math" w:hAnsi="Cambria Math"/>
          <w:i/>
          <w:iCs/>
          <w:lang w:val="en-US"/>
        </w:rPr>
        <w:t>Marketing Science</w:t>
      </w:r>
      <w:r w:rsidRPr="005C7698">
        <w:rPr>
          <w:rFonts w:ascii="Cambria Math" w:hAnsi="Cambria Math"/>
          <w:lang w:val="en-US"/>
        </w:rPr>
        <w:t>) — an experimental demonstration that recommendations can backfire.</w:t>
      </w:r>
    </w:p>
    <w:p w14:paraId="0524E075" w14:textId="77777777" w:rsidR="005C7698" w:rsidRPr="005C7698" w:rsidRDefault="005C7698" w:rsidP="005C7698">
      <w:pPr>
        <w:pStyle w:val="Textbody"/>
        <w:numPr>
          <w:ilvl w:val="0"/>
          <w:numId w:val="3"/>
        </w:numPr>
        <w:rPr>
          <w:rFonts w:ascii="Cambria Math" w:hAnsi="Cambria Math"/>
          <w:lang w:val="en-US"/>
        </w:rPr>
      </w:pPr>
      <w:r w:rsidRPr="005C7698">
        <w:rPr>
          <w:rFonts w:ascii="Cambria Math" w:hAnsi="Cambria Math"/>
          <w:b/>
          <w:bCs/>
          <w:lang w:val="en-US"/>
        </w:rPr>
        <w:t>Bertini, M. &amp; Aydinli, A. (2020), "Consumer Reactance to Promotional Favors"</w:t>
      </w:r>
      <w:r w:rsidRPr="005C7698">
        <w:rPr>
          <w:rFonts w:ascii="Cambria Math" w:hAnsi="Cambria Math"/>
          <w:lang w:val="en-US"/>
        </w:rPr>
        <w:t xml:space="preserve"> (</w:t>
      </w:r>
      <w:r w:rsidRPr="005C7698">
        <w:rPr>
          <w:rFonts w:ascii="Cambria Math" w:hAnsi="Cambria Math"/>
          <w:i/>
          <w:iCs/>
          <w:lang w:val="en-US"/>
        </w:rPr>
        <w:t>Journal of Retailing</w:t>
      </w:r>
      <w:r w:rsidRPr="005C7698">
        <w:rPr>
          <w:rFonts w:ascii="Cambria Math" w:hAnsi="Cambria Math"/>
          <w:lang w:val="en-US"/>
        </w:rPr>
        <w:t>, 96(4)). Across five experiments — the first a field test, the rest more controlled settings — the paper documents that conditional promotional favors can backfire, with consumers spending less than in response to a standard unconditional discount, tracing the effect to psychological reactance. This is the closest thing to a clean field-plus-lab experimental package in the reactance literature.</w:t>
      </w:r>
    </w:p>
    <w:p w14:paraId="72C39DDA" w14:textId="77777777" w:rsidR="005C7698" w:rsidRPr="005C7698" w:rsidRDefault="005C7698" w:rsidP="005C7698">
      <w:pPr>
        <w:pStyle w:val="Textbody"/>
        <w:numPr>
          <w:ilvl w:val="0"/>
          <w:numId w:val="3"/>
        </w:numPr>
        <w:rPr>
          <w:rFonts w:ascii="Cambria Math" w:hAnsi="Cambria Math"/>
          <w:lang w:val="en-US"/>
        </w:rPr>
      </w:pPr>
      <w:r w:rsidRPr="005C7698">
        <w:rPr>
          <w:rFonts w:ascii="Cambria Math" w:hAnsi="Cambria Math"/>
          <w:b/>
          <w:bCs/>
          <w:lang w:val="en-US"/>
        </w:rPr>
        <w:t>A nudging experiment: "The role of autonomy and reactance for nudging — Experimentally comparing defaults to recommendations and mandates" (2023).</w:t>
      </w:r>
      <w:r w:rsidRPr="005C7698">
        <w:rPr>
          <w:rFonts w:ascii="Cambria Math" w:hAnsi="Cambria Math"/>
          <w:lang w:val="en-US"/>
        </w:rPr>
        <w:t xml:space="preserve"> This is directly in the behavioral-economics tradition: participants perceived a recommendation as less threatening to their behavioral freedom than a default, and perceived a mandatory minimum contribution as both more threatening and more angering than a default. It also operationalizes trait reactance as a "consistent tendency to perceive and react to situations as if one's freedoms were being threatened" (Kelly &amp; Nauta, 1997).</w:t>
      </w:r>
    </w:p>
    <w:p w14:paraId="558B9A9F"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t xml:space="preserve">For the consumer/economics strand specifically, there's also a methodological review — </w:t>
      </w:r>
      <w:r w:rsidRPr="005C7698">
        <w:rPr>
          <w:rFonts w:ascii="Cambria Math" w:hAnsi="Cambria Math"/>
          <w:b/>
          <w:bCs/>
          <w:lang w:val="en-US"/>
        </w:rPr>
        <w:t>"Consumer Reactance: A Review of Research Methodologies"</w:t>
      </w:r>
      <w:r w:rsidRPr="005C7698">
        <w:rPr>
          <w:rFonts w:ascii="Cambria Math" w:hAnsi="Cambria Math"/>
          <w:lang w:val="en-US"/>
        </w:rPr>
        <w:t xml:space="preserve"> — which conducted a literature analysis of 41 empirical articles, classifying research methodologies, context, and sample, and discussing implications for marketers and researchers. That would be a fast way for you to see how the experimental designs in the consumer-behavior wing are constructed.</w:t>
      </w:r>
    </w:p>
    <w:p w14:paraId="67B7AB4A" w14:textId="77777777" w:rsidR="005C7698" w:rsidRPr="005C7698" w:rsidRDefault="005C7698" w:rsidP="005C7698">
      <w:pPr>
        <w:pStyle w:val="Textbody"/>
        <w:rPr>
          <w:rFonts w:ascii="Cambria Math" w:hAnsi="Cambria Math"/>
        </w:rPr>
      </w:pPr>
      <w:r w:rsidRPr="005C7698">
        <w:rPr>
          <w:rFonts w:ascii="Cambria Math" w:hAnsi="Cambria Math"/>
        </w:rPr>
        <w:pict w14:anchorId="3ABD4D22">
          <v:rect id="_x0000_i1026" style="width:0;height:1.5pt" o:hralign="center" o:hrstd="t" o:hr="t" fillcolor="#a0a0a0" stroked="f"/>
        </w:pict>
      </w:r>
    </w:p>
    <w:p w14:paraId="0C331472" w14:textId="77777777" w:rsidR="005C7698" w:rsidRPr="005C7698" w:rsidRDefault="005C7698" w:rsidP="005C7698">
      <w:pPr>
        <w:pStyle w:val="Textbody"/>
        <w:rPr>
          <w:rFonts w:ascii="Cambria Math" w:hAnsi="Cambria Math"/>
          <w:lang w:val="en-US"/>
        </w:rPr>
      </w:pPr>
      <w:r w:rsidRPr="005C7698">
        <w:rPr>
          <w:rFonts w:ascii="Cambria Math" w:hAnsi="Cambria Math"/>
          <w:lang w:val="en-US"/>
        </w:rPr>
        <w:lastRenderedPageBreak/>
        <w:t>A few notes on the boundaries, since you asked for the distinction explicitly. The cleanest theoretical works are the reviews (Miron &amp; Brehm 2006; Rosenberg &amp; Siegel 2018) and the original monographs. The genuinely empirical-but-not-experimental works are mostly the psychometric/validation papers (the Hong scale lineage), which are correlational and factor-analytic. Almost everything else is experimental, because manipulating a freedom threat and observing the restorative response is the natural design for this construct — which is also why reactance translates so readily into the lab-experimental methods you use in experimental economics.</w:t>
      </w:r>
    </w:p>
    <w:p w14:paraId="0BA94BA2" w14:textId="75AD5838" w:rsidR="00BE3A1A" w:rsidRDefault="005C7698" w:rsidP="005C7698">
      <w:pPr>
        <w:pStyle w:val="Textbody"/>
        <w:rPr>
          <w:rFonts w:ascii="Cambria Math" w:hAnsi="Cambria Math"/>
          <w:lang w:val="en-US"/>
        </w:rPr>
      </w:pPr>
      <w:r w:rsidRPr="005C7698">
        <w:rPr>
          <w:rFonts w:ascii="Cambria Math" w:hAnsi="Cambria Math"/>
          <w:lang w:val="en-US"/>
        </w:rPr>
        <w:t xml:space="preserve">Would it help if I pulled full citations (with DOIs) into a reference list, or </w:t>
      </w:r>
      <w:r w:rsidRPr="00BE3A1A">
        <w:rPr>
          <w:rFonts w:ascii="Cambria Math" w:hAnsi="Cambria Math"/>
          <w:u w:val="single"/>
          <w:lang w:val="en-US"/>
        </w:rPr>
        <w:t>focused a deeper dive on the economics/experimental subset?</w:t>
      </w:r>
    </w:p>
    <w:p w14:paraId="16BC0B94" w14:textId="77777777" w:rsidR="00BE3A1A" w:rsidRPr="00BE3A1A" w:rsidRDefault="00BE3A1A" w:rsidP="00BE3A1A">
      <w:pPr>
        <w:pStyle w:val="Textbody"/>
        <w:rPr>
          <w:rFonts w:ascii="Cambria Math" w:hAnsi="Cambria Math"/>
        </w:rPr>
      </w:pPr>
      <w:r w:rsidRPr="00BE3A1A">
        <w:rPr>
          <w:rFonts w:ascii="Cambria Math" w:hAnsi="Cambria Math"/>
        </w:rPr>
        <w:pict w14:anchorId="6FDA0691">
          <v:rect id="_x0000_i1027" style="width:0;height:1.5pt" o:hralign="center" o:hrstd="t" o:hr="t" fillcolor="#a0a0a0" stroked="f"/>
        </w:pict>
      </w:r>
    </w:p>
    <w:p w14:paraId="4714DC7F"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 xml:space="preserve">Here's a deeper dive into how reactance has been taken up in economics — which turns out to be a richer and more coherent literature than the psychology-facing survey suggests, because economists mostly relabeled the construct as </w:t>
      </w:r>
      <w:r w:rsidRPr="00BE3A1A">
        <w:rPr>
          <w:rFonts w:ascii="Cambria Math" w:hAnsi="Cambria Math"/>
          <w:b/>
          <w:bCs/>
          <w:lang w:val="en-US"/>
        </w:rPr>
        <w:t>"control aversion"</w:t>
      </w:r>
      <w:r w:rsidRPr="00BE3A1A">
        <w:rPr>
          <w:rFonts w:ascii="Cambria Math" w:hAnsi="Cambria Math"/>
          <w:lang w:val="en-US"/>
        </w:rPr>
        <w:t xml:space="preserve"> and built it into principal–agent theory, incentive design, and choice theory. I'll organize it into the strands that will map most naturally onto your own experimental and mechanism-design work.</w:t>
      </w:r>
    </w:p>
    <w:p w14:paraId="065BC2AA" w14:textId="77777777" w:rsidR="00BE3A1A" w:rsidRPr="00BE3A1A" w:rsidRDefault="00BE3A1A" w:rsidP="00BE3A1A">
      <w:pPr>
        <w:pStyle w:val="Textbody"/>
        <w:rPr>
          <w:rFonts w:ascii="Cambria Math" w:hAnsi="Cambria Math"/>
          <w:b/>
          <w:bCs/>
          <w:lang w:val="en-US"/>
        </w:rPr>
      </w:pPr>
      <w:r w:rsidRPr="00BE3A1A">
        <w:rPr>
          <w:rFonts w:ascii="Cambria Math" w:hAnsi="Cambria Math"/>
          <w:b/>
          <w:bCs/>
          <w:lang w:val="en-US"/>
        </w:rPr>
        <w:t>1. The workhorse: "hidden costs of control" (principal–agent experiments)</w:t>
      </w:r>
    </w:p>
    <w:p w14:paraId="0947B506"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 xml:space="preserve">The single most important economics paper in this space is </w:t>
      </w:r>
      <w:r w:rsidRPr="00BE3A1A">
        <w:rPr>
          <w:rFonts w:ascii="Cambria Math" w:hAnsi="Cambria Math"/>
          <w:b/>
          <w:bCs/>
          <w:lang w:val="en-US"/>
        </w:rPr>
        <w:t>Falk, A. &amp; Kosfeld, M. (2006), "The Hidden Costs of Control"</w:t>
      </w:r>
      <w:r w:rsidRPr="00BE3A1A">
        <w:rPr>
          <w:rFonts w:ascii="Cambria Math" w:hAnsi="Cambria Math"/>
          <w:lang w:val="en-US"/>
        </w:rPr>
        <w:t xml:space="preserve"> (</w:t>
      </w:r>
      <w:r w:rsidRPr="00BE3A1A">
        <w:rPr>
          <w:rFonts w:ascii="Cambria Math" w:hAnsi="Cambria Math"/>
          <w:i/>
          <w:iCs/>
          <w:lang w:val="en-US"/>
        </w:rPr>
        <w:t>American Economic Review</w:t>
      </w:r>
      <w:r w:rsidRPr="00BE3A1A">
        <w:rPr>
          <w:rFonts w:ascii="Cambria Math" w:hAnsi="Cambria Math"/>
          <w:lang w:val="en-US"/>
        </w:rPr>
        <w:t xml:space="preserve">, 96(5), 1611–1630). It's a simple experimental principal–agent game: a principal can either trust the agent or impose a minimum-effort constraint. Standard theory predicts control weakly raises effort; instead, imposing the constraint </w:t>
      </w:r>
      <w:r w:rsidRPr="00BE3A1A">
        <w:rPr>
          <w:rFonts w:ascii="Cambria Math" w:hAnsi="Cambria Math"/>
          <w:i/>
          <w:iCs/>
          <w:lang w:val="en-US"/>
        </w:rPr>
        <w:t>reduces</w:t>
      </w:r>
      <w:r w:rsidRPr="00BE3A1A">
        <w:rPr>
          <w:rFonts w:ascii="Cambria Math" w:hAnsi="Cambria Math"/>
          <w:lang w:val="en-US"/>
        </w:rPr>
        <w:t xml:space="preserve"> agent effort, because control signals distrust. This is reactance in economic clothing — the employee may perceive a requested minimum effort as a signal of distrust in her intrinsic work motivation, and responds by restoring autonomy. This paper is what made control aversion a mainstream behavioral-economics topic.</w:t>
      </w:r>
    </w:p>
    <w:p w14:paraId="1EF862AD"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The replication and extension literature around it is substantial and directly relevant if you're thinking about experimental design:</w:t>
      </w:r>
    </w:p>
    <w:p w14:paraId="39EE42DE" w14:textId="77777777" w:rsidR="00BE3A1A" w:rsidRPr="00BE3A1A" w:rsidRDefault="00BE3A1A" w:rsidP="00BE3A1A">
      <w:pPr>
        <w:pStyle w:val="Textbody"/>
        <w:numPr>
          <w:ilvl w:val="0"/>
          <w:numId w:val="4"/>
        </w:numPr>
        <w:rPr>
          <w:rFonts w:ascii="Cambria Math" w:hAnsi="Cambria Math"/>
          <w:lang w:val="en-US"/>
        </w:rPr>
      </w:pPr>
      <w:r w:rsidRPr="00BE3A1A">
        <w:rPr>
          <w:rFonts w:ascii="Cambria Math" w:hAnsi="Cambria Math"/>
          <w:b/>
          <w:bCs/>
          <w:lang w:val="en-US"/>
        </w:rPr>
        <w:t>Ziegelmeyer, Schmelz &amp; Ploner (2012), "Hidden costs of control: four repetitions and an extension"</w:t>
      </w:r>
      <w:r w:rsidRPr="00BE3A1A">
        <w:rPr>
          <w:rFonts w:ascii="Cambria Math" w:hAnsi="Cambria Math"/>
          <w:lang w:val="en-US"/>
        </w:rPr>
        <w:t xml:space="preserve"> (</w:t>
      </w:r>
      <w:r w:rsidRPr="00BE3A1A">
        <w:rPr>
          <w:rFonts w:ascii="Cambria Math" w:hAnsi="Cambria Math"/>
          <w:i/>
          <w:iCs/>
          <w:lang w:val="en-US"/>
        </w:rPr>
        <w:t>Experimental Economics</w:t>
      </w:r>
      <w:r w:rsidRPr="00BE3A1A">
        <w:rPr>
          <w:rFonts w:ascii="Cambria Math" w:hAnsi="Cambria Math"/>
          <w:lang w:val="en-US"/>
        </w:rPr>
        <w:t>). They repeat the Falk–Kosfeld low and medium control treatments with 476 subjects and find that the extent of the performance decline is not always sufficient to completely offset the incentive benefits of control — an important qualification on the original result.</w:t>
      </w:r>
    </w:p>
    <w:p w14:paraId="04880516" w14:textId="77777777" w:rsidR="00BE3A1A" w:rsidRPr="00BE3A1A" w:rsidRDefault="00BE3A1A" w:rsidP="00BE3A1A">
      <w:pPr>
        <w:pStyle w:val="Textbody"/>
        <w:numPr>
          <w:ilvl w:val="0"/>
          <w:numId w:val="4"/>
        </w:numPr>
        <w:rPr>
          <w:rFonts w:ascii="Cambria Math" w:hAnsi="Cambria Math"/>
          <w:lang w:val="en-US"/>
        </w:rPr>
      </w:pPr>
      <w:r w:rsidRPr="00BE3A1A">
        <w:rPr>
          <w:rFonts w:ascii="Cambria Math" w:hAnsi="Cambria Math"/>
          <w:b/>
          <w:bCs/>
          <w:lang w:val="en-US"/>
        </w:rPr>
        <w:t>Schmelz &amp; Ziegelmeyer (2020)</w:t>
      </w:r>
      <w:r w:rsidRPr="00BE3A1A">
        <w:rPr>
          <w:rFonts w:ascii="Cambria Math" w:hAnsi="Cambria Math"/>
          <w:lang w:val="en-US"/>
        </w:rPr>
        <w:t xml:space="preserve"> and </w:t>
      </w:r>
      <w:r w:rsidRPr="00BE3A1A">
        <w:rPr>
          <w:rFonts w:ascii="Cambria Math" w:hAnsi="Cambria Math"/>
          <w:b/>
          <w:bCs/>
          <w:lang w:val="en-US"/>
        </w:rPr>
        <w:t>Schmelz &amp; Bowles (2021)</w:t>
      </w:r>
      <w:r w:rsidRPr="00BE3A1A">
        <w:rPr>
          <w:rFonts w:ascii="Cambria Math" w:hAnsi="Cambria Math"/>
          <w:lang w:val="en-US"/>
        </w:rPr>
        <w:t xml:space="preserve"> extend the control-aversion idea to the question of </w:t>
      </w:r>
      <w:r w:rsidRPr="00BE3A1A">
        <w:rPr>
          <w:rFonts w:ascii="Cambria Math" w:hAnsi="Cambria Math"/>
          <w:i/>
          <w:iCs/>
          <w:lang w:val="en-US"/>
        </w:rPr>
        <w:t>who</w:t>
      </w:r>
      <w:r w:rsidRPr="00BE3A1A">
        <w:rPr>
          <w:rFonts w:ascii="Cambria Math" w:hAnsi="Cambria Math"/>
          <w:lang w:val="en-US"/>
        </w:rPr>
        <w:t xml:space="preserve"> imposes control — whether the restriction results from a principal's conscious decision or is exogenously/democratically imposed. This "source of control" manipulation is one of the cleaner ways the economics literature has operationalized Brehm's point that the </w:t>
      </w:r>
      <w:r w:rsidRPr="00BE3A1A">
        <w:rPr>
          <w:rFonts w:ascii="Cambria Math" w:hAnsi="Cambria Math"/>
          <w:i/>
          <w:iCs/>
          <w:lang w:val="en-US"/>
        </w:rPr>
        <w:t>agent</w:t>
      </w:r>
      <w:r w:rsidRPr="00BE3A1A">
        <w:rPr>
          <w:rFonts w:ascii="Cambria Math" w:hAnsi="Cambria Math"/>
          <w:lang w:val="en-US"/>
        </w:rPr>
        <w:t xml:space="preserve"> of the threat matters.</w:t>
      </w:r>
    </w:p>
    <w:p w14:paraId="7137C693" w14:textId="77777777" w:rsidR="00BE3A1A" w:rsidRPr="00BE3A1A" w:rsidRDefault="00BE3A1A" w:rsidP="00BE3A1A">
      <w:pPr>
        <w:pStyle w:val="Textbody"/>
        <w:numPr>
          <w:ilvl w:val="0"/>
          <w:numId w:val="4"/>
        </w:numPr>
        <w:rPr>
          <w:rFonts w:ascii="Cambria Math" w:hAnsi="Cambria Math"/>
          <w:lang w:val="en-US"/>
        </w:rPr>
      </w:pPr>
      <w:r w:rsidRPr="00BE3A1A">
        <w:rPr>
          <w:rFonts w:ascii="Cambria Math" w:hAnsi="Cambria Math"/>
          <w:lang w:val="en-US"/>
        </w:rPr>
        <w:t xml:space="preserve">The most recent work pushes into </w:t>
      </w:r>
      <w:r w:rsidRPr="00BE3A1A">
        <w:rPr>
          <w:rFonts w:ascii="Cambria Math" w:hAnsi="Cambria Math"/>
          <w:b/>
          <w:bCs/>
          <w:lang w:val="en-US"/>
        </w:rPr>
        <w:t>automated/algorithmic control</w:t>
      </w:r>
      <w:r w:rsidRPr="00BE3A1A">
        <w:rPr>
          <w:rFonts w:ascii="Cambria Math" w:hAnsi="Cambria Math"/>
          <w:lang w:val="en-US"/>
        </w:rPr>
        <w:t xml:space="preserve"> (Frontiers in Behavioral Economics, 2025), asking whether control exerted by an algorithm rather than a human principal triggers the same reactance — a question that connects directly to your research agenda on the economic alignment of algorithmic agents.</w:t>
      </w:r>
    </w:p>
    <w:p w14:paraId="03C9EE57"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lastRenderedPageBreak/>
        <w:t xml:space="preserve">There's even a neuroeconomic version: an fMRI study of </w:t>
      </w:r>
      <w:r w:rsidRPr="00BE3A1A">
        <w:rPr>
          <w:rFonts w:ascii="Cambria Math" w:hAnsi="Cambria Math"/>
          <w:b/>
          <w:bCs/>
          <w:lang w:val="en-US"/>
        </w:rPr>
        <w:t>control-averse behavior</w:t>
      </w:r>
      <w:r w:rsidRPr="00BE3A1A">
        <w:rPr>
          <w:rFonts w:ascii="Cambria Math" w:hAnsi="Cambria Math"/>
          <w:lang w:val="en-US"/>
        </w:rPr>
        <w:t xml:space="preserve"> that operationalizes the freedom-restoration item straight out of reactance theory — "When player A restricts the generosity levels, I want to use my remaining freedom of choice all the more" — and finds control aversion tracks perceived distrust.</w:t>
      </w:r>
    </w:p>
    <w:p w14:paraId="74C939AC" w14:textId="77777777" w:rsidR="00BE3A1A" w:rsidRPr="00BE3A1A" w:rsidRDefault="00BE3A1A" w:rsidP="00BE3A1A">
      <w:pPr>
        <w:pStyle w:val="Textbody"/>
        <w:rPr>
          <w:rFonts w:ascii="Cambria Math" w:hAnsi="Cambria Math"/>
          <w:b/>
          <w:bCs/>
          <w:lang w:val="en-US"/>
        </w:rPr>
      </w:pPr>
      <w:r w:rsidRPr="00BE3A1A">
        <w:rPr>
          <w:rFonts w:ascii="Cambria Math" w:hAnsi="Cambria Math"/>
          <w:b/>
          <w:bCs/>
          <w:lang w:val="en-US"/>
        </w:rPr>
        <w:t>2. Formal theory: modeling reactance as preferences</w:t>
      </w:r>
    </w:p>
    <w:p w14:paraId="66B672EB"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Two strands attempt to give reactance rigorous decision-theoretic or game-theoretic foundations, which is probably the part most novel to you.</w:t>
      </w:r>
    </w:p>
    <w:p w14:paraId="00638FE5" w14:textId="77777777" w:rsidR="00BE3A1A" w:rsidRPr="00BE3A1A" w:rsidRDefault="00BE3A1A" w:rsidP="00BE3A1A">
      <w:pPr>
        <w:pStyle w:val="Textbody"/>
        <w:rPr>
          <w:rFonts w:ascii="Cambria Math" w:hAnsi="Cambria Math"/>
          <w:lang w:val="en-US"/>
        </w:rPr>
      </w:pPr>
      <w:r w:rsidRPr="00BE3A1A">
        <w:rPr>
          <w:rFonts w:ascii="Cambria Math" w:hAnsi="Cambria Math"/>
          <w:b/>
          <w:bCs/>
          <w:lang w:val="en-US"/>
        </w:rPr>
        <w:t>Kumashiro, K. &amp; Miyagawa, E. (2017), "Economic Analysis of Psychological Reactance"</w:t>
      </w:r>
      <w:r w:rsidRPr="00BE3A1A">
        <w:rPr>
          <w:rFonts w:ascii="Cambria Math" w:hAnsi="Cambria Math"/>
          <w:lang w:val="en-US"/>
        </w:rPr>
        <w:t xml:space="preserve"> (Kobe University, Discussion Paper 1712). This is a two-player incomplete-information game in which "reactance-like" strategy profiles arise as equilibria for identifiable parameter regions. The interesting modeling choice — which their own commentary highlights — is that the agent's utility depends not on the principal's evaluation </w:t>
      </w:r>
      <w:r w:rsidRPr="00BE3A1A">
        <w:rPr>
          <w:rFonts w:ascii="Cambria Math" w:hAnsi="Cambria Math"/>
          <w:i/>
          <w:iCs/>
          <w:lang w:val="en-US"/>
        </w:rPr>
        <w:t>per se</w:t>
      </w:r>
      <w:r w:rsidRPr="00BE3A1A">
        <w:rPr>
          <w:rFonts w:ascii="Cambria Math" w:hAnsi="Cambria Math"/>
          <w:lang w:val="en-US"/>
        </w:rPr>
        <w:t xml:space="preserve"> but on the </w:t>
      </w:r>
      <w:r w:rsidRPr="00BE3A1A">
        <w:rPr>
          <w:rFonts w:ascii="Cambria Math" w:hAnsi="Cambria Math"/>
          <w:i/>
          <w:iCs/>
          <w:lang w:val="en-US"/>
        </w:rPr>
        <w:t>gap</w:t>
      </w:r>
      <w:r w:rsidRPr="00BE3A1A">
        <w:rPr>
          <w:rFonts w:ascii="Cambria Math" w:hAnsi="Cambria Math"/>
          <w:lang w:val="en-US"/>
        </w:rPr>
        <w:t xml:space="preserve"> between the principal's evaluation and the agent's self-evaluation, in a reference-dependent (prospect-theory) way: the disutility of being evaluated below one's self-image exceeds the utility of being evaluated above it. That loss-aversion-over-esteem structure is what generates the reactant response.</w:t>
      </w:r>
    </w:p>
    <w:p w14:paraId="0693F499" w14:textId="77777777" w:rsidR="00BE3A1A" w:rsidRPr="00BE3A1A" w:rsidRDefault="00BE3A1A" w:rsidP="00BE3A1A">
      <w:pPr>
        <w:pStyle w:val="Textbody"/>
        <w:rPr>
          <w:rFonts w:ascii="Cambria Math" w:hAnsi="Cambria Math"/>
          <w:lang w:val="en-US"/>
        </w:rPr>
      </w:pPr>
      <w:r w:rsidRPr="00BE3A1A">
        <w:rPr>
          <w:rFonts w:ascii="Cambria Math" w:hAnsi="Cambria Math"/>
          <w:b/>
          <w:bCs/>
          <w:lang w:val="en-US"/>
        </w:rPr>
        <w:t>Schnedler, W. &amp; Vanberg, C. (2014), "Playing 'Hard to Get': An Economic Rationale for Crowding Out of Intrinsically Motivated Behavior"</w:t>
      </w:r>
      <w:r w:rsidRPr="00BE3A1A">
        <w:rPr>
          <w:rFonts w:ascii="Cambria Math" w:hAnsi="Cambria Math"/>
          <w:lang w:val="en-US"/>
        </w:rPr>
        <w:t xml:space="preserve"> (Heidelberg). This provides a rational-choice micro-foundation for why imposing control crowds out motivated behavior — reframing the crowding-out result as strategic rather than purely psychological.</w:t>
      </w:r>
    </w:p>
    <w:p w14:paraId="751B5218"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 xml:space="preserve">The newest and most directly choice-theoretic entry is a 2025/26 working paper, </w:t>
      </w:r>
      <w:r w:rsidRPr="00BE3A1A">
        <w:rPr>
          <w:rFonts w:ascii="Cambria Math" w:hAnsi="Cambria Math"/>
          <w:b/>
          <w:bCs/>
          <w:lang w:val="en-US"/>
        </w:rPr>
        <w:t>"Grabbing the Forbidden Fruit: Restriction-Sensitive Choice"</w:t>
      </w:r>
      <w:r w:rsidRPr="00BE3A1A">
        <w:rPr>
          <w:rFonts w:ascii="Cambria Math" w:hAnsi="Cambria Math"/>
          <w:lang w:val="en-US"/>
        </w:rPr>
        <w:t xml:space="preserve"> (arXiv 2509.11673; earlier titled "Reactance: a Freedom-Based Theory of Choice"). This axiomatizes a choice model in which removing an alternative changes the relative ranking of the remaining ones — i.e., it builds the forbidden-fruit effect into revealed-preference theory, producing systematic choice reversals when opportunities are eliminated. It explicitly discusses the acknowledgments list of decision theorists (Ballester, Manzini, Mariotti, Ortoleva, Dietrich, etc.), so this is a serious formal-choice effort, not an applied aside. Given your auction/mechanism-design background, this is likely the paper worth reading closely — it's the attempt to make reactance a primitive of choice rather than a wrinkle in a specific game.</w:t>
      </w:r>
    </w:p>
    <w:p w14:paraId="342959FE" w14:textId="77777777" w:rsidR="00BE3A1A" w:rsidRPr="00BE3A1A" w:rsidRDefault="00BE3A1A" w:rsidP="00BE3A1A">
      <w:pPr>
        <w:pStyle w:val="Textbody"/>
        <w:rPr>
          <w:rFonts w:ascii="Cambria Math" w:hAnsi="Cambria Math"/>
          <w:b/>
          <w:bCs/>
          <w:lang w:val="en-US"/>
        </w:rPr>
      </w:pPr>
      <w:r w:rsidRPr="00BE3A1A">
        <w:rPr>
          <w:rFonts w:ascii="Cambria Math" w:hAnsi="Cambria Math"/>
          <w:b/>
          <w:bCs/>
          <w:lang w:val="en-US"/>
        </w:rPr>
        <w:t>3. Reactance vs. nudges: the backfire literature</w:t>
      </w:r>
    </w:p>
    <w:p w14:paraId="316E2EEE"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This is where reactance intersects the behavioral public-economics debate about defaults and paternalism.</w:t>
      </w:r>
    </w:p>
    <w:p w14:paraId="6B0B2924" w14:textId="77777777" w:rsidR="00BE3A1A" w:rsidRPr="00BE3A1A" w:rsidRDefault="00BE3A1A" w:rsidP="00BE3A1A">
      <w:pPr>
        <w:pStyle w:val="Textbody"/>
        <w:rPr>
          <w:rFonts w:ascii="Cambria Math" w:hAnsi="Cambria Math"/>
          <w:lang w:val="en-US"/>
        </w:rPr>
      </w:pPr>
      <w:r w:rsidRPr="00BE3A1A">
        <w:rPr>
          <w:rFonts w:ascii="Cambria Math" w:hAnsi="Cambria Math"/>
          <w:b/>
          <w:bCs/>
          <w:lang w:val="en-US"/>
        </w:rPr>
        <w:t>Arad, A. &amp; Rubinstein, A. (2018)</w:t>
      </w:r>
      <w:r w:rsidRPr="00BE3A1A">
        <w:rPr>
          <w:rFonts w:ascii="Cambria Math" w:hAnsi="Cambria Math"/>
          <w:lang w:val="en-US"/>
        </w:rPr>
        <w:t xml:space="preserve"> documented a nudge backfire that they explicitly attributed to reactance: as summarized in the forbidden-fruit paper, subjects offered savings programs saved more when given prior information about the benefits of saving than when told a default had been specifically designed to induce them to save more, and the authors explicitly referred to reactance to explain their results. The mechanism — being told a choice architect engineered the default </w:t>
      </w:r>
      <w:r w:rsidRPr="00BE3A1A">
        <w:rPr>
          <w:rFonts w:ascii="Cambria Math" w:hAnsi="Cambria Math"/>
          <w:i/>
          <w:iCs/>
          <w:lang w:val="en-US"/>
        </w:rPr>
        <w:t>for</w:t>
      </w:r>
      <w:r w:rsidRPr="00BE3A1A">
        <w:rPr>
          <w:rFonts w:ascii="Cambria Math" w:hAnsi="Cambria Math"/>
          <w:lang w:val="en-US"/>
        </w:rPr>
        <w:t xml:space="preserve"> you — is a textbook freedom threat.</w:t>
      </w:r>
    </w:p>
    <w:p w14:paraId="26362B43"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 xml:space="preserve">The purpose-built experiment here is </w:t>
      </w:r>
      <w:r w:rsidRPr="00BE3A1A">
        <w:rPr>
          <w:rFonts w:ascii="Cambria Math" w:hAnsi="Cambria Math"/>
          <w:b/>
          <w:bCs/>
          <w:lang w:val="en-US"/>
        </w:rPr>
        <w:t xml:space="preserve">Bruns &amp; Perino and colleagues, "The role of autonomy and reactance for nudging — experimentally comparing defaults to recommendations and </w:t>
      </w:r>
      <w:r w:rsidRPr="00BE3A1A">
        <w:rPr>
          <w:rFonts w:ascii="Cambria Math" w:hAnsi="Cambria Math"/>
          <w:b/>
          <w:bCs/>
          <w:lang w:val="en-US"/>
        </w:rPr>
        <w:lastRenderedPageBreak/>
        <w:t>mandates"</w:t>
      </w:r>
      <w:r w:rsidRPr="00BE3A1A">
        <w:rPr>
          <w:rFonts w:ascii="Cambria Math" w:hAnsi="Cambria Math"/>
          <w:lang w:val="en-US"/>
        </w:rPr>
        <w:t xml:space="preserve"> (</w:t>
      </w:r>
      <w:r w:rsidRPr="00BE3A1A">
        <w:rPr>
          <w:rFonts w:ascii="Cambria Math" w:hAnsi="Cambria Math"/>
          <w:i/>
          <w:iCs/>
          <w:lang w:val="en-US"/>
        </w:rPr>
        <w:t>Journal of Behavioral and Experimental Economics</w:t>
      </w:r>
      <w:r w:rsidRPr="00BE3A1A">
        <w:rPr>
          <w:rFonts w:ascii="Cambria Math" w:hAnsi="Cambria Math"/>
          <w:lang w:val="en-US"/>
        </w:rPr>
        <w:t xml:space="preserve">, 2023). They manipulate intervention type (default vs. recommendation vs. mandate) in a climate-contribution setting and measure reactance-specific variables. Key findings: participants perceived a recommendation as less threatening to their behavioral freedom than a default, and perceived a mandatory minimum contribution as both more threatening and more angering than a default. Notably, they find only weak evidence that state reactance mediates the motivation crowding-out of the default — a useful cautionary result on how hard it is to pin the </w:t>
      </w:r>
      <w:r w:rsidRPr="00BE3A1A">
        <w:rPr>
          <w:rFonts w:ascii="Cambria Math" w:hAnsi="Cambria Math"/>
          <w:i/>
          <w:iCs/>
          <w:lang w:val="en-US"/>
        </w:rPr>
        <w:t>mechanism</w:t>
      </w:r>
      <w:r w:rsidRPr="00BE3A1A">
        <w:rPr>
          <w:rFonts w:ascii="Cambria Math" w:hAnsi="Cambria Math"/>
          <w:lang w:val="en-US"/>
        </w:rPr>
        <w:t xml:space="preserve"> on reactance even when the behavioral effect is present. The related </w:t>
      </w:r>
      <w:r w:rsidRPr="00BE3A1A">
        <w:rPr>
          <w:rFonts w:ascii="Cambria Math" w:hAnsi="Cambria Math"/>
          <w:b/>
          <w:bCs/>
          <w:lang w:val="en-US"/>
        </w:rPr>
        <w:t>Bruns &amp; Perino (2019)</w:t>
      </w:r>
      <w:r w:rsidRPr="00BE3A1A">
        <w:rPr>
          <w:rFonts w:ascii="Cambria Math" w:hAnsi="Cambria Math"/>
          <w:lang w:val="en-US"/>
        </w:rPr>
        <w:t xml:space="preserve"> analysis of the same data examines how the effect varies with intrinsic motivation.</w:t>
      </w:r>
    </w:p>
    <w:p w14:paraId="07267373"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 xml:space="preserve">A macro-application worth knowing: a </w:t>
      </w:r>
      <w:r w:rsidRPr="00BE3A1A">
        <w:rPr>
          <w:rFonts w:ascii="Cambria Math" w:hAnsi="Cambria Math"/>
          <w:b/>
          <w:bCs/>
          <w:lang w:val="en-US"/>
        </w:rPr>
        <w:t>PNAS (2021)</w:t>
      </w:r>
      <w:r w:rsidRPr="00BE3A1A">
        <w:rPr>
          <w:rFonts w:ascii="Cambria Math" w:hAnsi="Cambria Math"/>
          <w:lang w:val="en-US"/>
        </w:rPr>
        <w:t xml:space="preserve"> COVID-vaccination policy model explicitly equates the two vocabularies — "psychological reactance" or what economists term "control aversion," a particular case of intrinsic motivation being crowded out by explicit constraints or incentives — and embeds it in a dynamic model of policy effectiveness estimated from panel survey data.</w:t>
      </w:r>
    </w:p>
    <w:p w14:paraId="6927A88A" w14:textId="77777777" w:rsidR="00BE3A1A" w:rsidRPr="00BE3A1A" w:rsidRDefault="00BE3A1A" w:rsidP="00BE3A1A">
      <w:pPr>
        <w:pStyle w:val="Textbody"/>
        <w:rPr>
          <w:rFonts w:ascii="Cambria Math" w:hAnsi="Cambria Math"/>
          <w:b/>
          <w:bCs/>
          <w:lang w:val="en-US"/>
        </w:rPr>
      </w:pPr>
      <w:r w:rsidRPr="00BE3A1A">
        <w:rPr>
          <w:rFonts w:ascii="Cambria Math" w:hAnsi="Cambria Math"/>
          <w:b/>
          <w:bCs/>
          <w:lang w:val="en-US"/>
        </w:rPr>
        <w:t>4. Consumer / marketing field and lab experiments</w:t>
      </w:r>
    </w:p>
    <w:p w14:paraId="3179A4F4"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Closest to industrial-organization and pricing questions, and the strand with the most actual field experiments:</w:t>
      </w:r>
    </w:p>
    <w:p w14:paraId="22B9F0EB" w14:textId="77777777" w:rsidR="00BE3A1A" w:rsidRPr="00BE3A1A" w:rsidRDefault="00BE3A1A" w:rsidP="00BE3A1A">
      <w:pPr>
        <w:pStyle w:val="Textbody"/>
        <w:numPr>
          <w:ilvl w:val="0"/>
          <w:numId w:val="5"/>
        </w:numPr>
        <w:rPr>
          <w:rFonts w:ascii="Cambria Math" w:hAnsi="Cambria Math"/>
          <w:lang w:val="en-US"/>
        </w:rPr>
      </w:pPr>
      <w:r w:rsidRPr="00BE3A1A">
        <w:rPr>
          <w:rFonts w:ascii="Cambria Math" w:hAnsi="Cambria Math"/>
          <w:b/>
          <w:bCs/>
          <w:lang w:val="en-US"/>
        </w:rPr>
        <w:t>Bertini, M. &amp; Aydinli, A. (2020), "Consumer Reactance to Promotional Favors"</w:t>
      </w:r>
      <w:r w:rsidRPr="00BE3A1A">
        <w:rPr>
          <w:rFonts w:ascii="Cambria Math" w:hAnsi="Cambria Math"/>
          <w:lang w:val="en-US"/>
        </w:rPr>
        <w:t xml:space="preserve"> (</w:t>
      </w:r>
      <w:r w:rsidRPr="00BE3A1A">
        <w:rPr>
          <w:rFonts w:ascii="Cambria Math" w:hAnsi="Cambria Math"/>
          <w:i/>
          <w:iCs/>
          <w:lang w:val="en-US"/>
        </w:rPr>
        <w:t>Journal of Retailing</w:t>
      </w:r>
      <w:r w:rsidRPr="00BE3A1A">
        <w:rPr>
          <w:rFonts w:ascii="Cambria Math" w:hAnsi="Cambria Math"/>
          <w:lang w:val="en-US"/>
        </w:rPr>
        <w:t xml:space="preserve">, 96(4)). Five experiments (the first a field test), showing conditional promotional favors backfire: consumers spend </w:t>
      </w:r>
      <w:r w:rsidRPr="00BE3A1A">
        <w:rPr>
          <w:rFonts w:ascii="Cambria Math" w:hAnsi="Cambria Math"/>
          <w:i/>
          <w:iCs/>
          <w:lang w:val="en-US"/>
        </w:rPr>
        <w:t>less</w:t>
      </w:r>
      <w:r w:rsidRPr="00BE3A1A">
        <w:rPr>
          <w:rFonts w:ascii="Cambria Math" w:hAnsi="Cambria Math"/>
          <w:lang w:val="en-US"/>
        </w:rPr>
        <w:t xml:space="preserve"> than under an equivalent unconditional discount, traced to reactance.</w:t>
      </w:r>
    </w:p>
    <w:p w14:paraId="525C3DC3" w14:textId="77777777" w:rsidR="00BE3A1A" w:rsidRPr="00BE3A1A" w:rsidRDefault="00BE3A1A" w:rsidP="00BE3A1A">
      <w:pPr>
        <w:pStyle w:val="Textbody"/>
        <w:numPr>
          <w:ilvl w:val="0"/>
          <w:numId w:val="5"/>
        </w:numPr>
        <w:rPr>
          <w:rFonts w:ascii="Cambria Math" w:hAnsi="Cambria Math"/>
          <w:lang w:val="en-US"/>
        </w:rPr>
      </w:pPr>
      <w:r w:rsidRPr="00BE3A1A">
        <w:rPr>
          <w:rFonts w:ascii="Cambria Math" w:hAnsi="Cambria Math"/>
          <w:b/>
          <w:bCs/>
          <w:lang w:val="en-US"/>
        </w:rPr>
        <w:t>Lessne &amp; Notarantonio (1988)</w:t>
      </w:r>
      <w:r w:rsidRPr="00BE3A1A">
        <w:rPr>
          <w:rFonts w:ascii="Cambria Math" w:hAnsi="Cambria Math"/>
          <w:lang w:val="en-US"/>
        </w:rPr>
        <w:t xml:space="preserve"> and </w:t>
      </w:r>
      <w:r w:rsidRPr="00BE3A1A">
        <w:rPr>
          <w:rFonts w:ascii="Cambria Math" w:hAnsi="Cambria Math"/>
          <w:b/>
          <w:bCs/>
          <w:lang w:val="en-US"/>
        </w:rPr>
        <w:t>Lessne &amp; Venkatesan (1989)</w:t>
      </w:r>
      <w:r w:rsidRPr="00BE3A1A">
        <w:rPr>
          <w:rFonts w:ascii="Cambria Math" w:hAnsi="Cambria Math"/>
          <w:lang w:val="en-US"/>
        </w:rPr>
        <w:t xml:space="preserve"> on purchase-quantity limits — the classic finding that a moderate quantity restriction (limit 4) increases purchase intent but a greater restriction (limit 2) reduces purchase intent relative to no limit, which is a nice non-monotonicity that maps onto Brehm's "magnitude of threat" prediction.</w:t>
      </w:r>
    </w:p>
    <w:p w14:paraId="37BA4C3D" w14:textId="77777777" w:rsidR="00BE3A1A" w:rsidRPr="00BE3A1A" w:rsidRDefault="00BE3A1A" w:rsidP="00BE3A1A">
      <w:pPr>
        <w:pStyle w:val="Textbody"/>
        <w:numPr>
          <w:ilvl w:val="0"/>
          <w:numId w:val="5"/>
        </w:numPr>
        <w:rPr>
          <w:rFonts w:ascii="Cambria Math" w:hAnsi="Cambria Math"/>
          <w:lang w:val="en-US"/>
        </w:rPr>
      </w:pPr>
      <w:r w:rsidRPr="00BE3A1A">
        <w:rPr>
          <w:rFonts w:ascii="Cambria Math" w:hAnsi="Cambria Math"/>
          <w:b/>
          <w:bCs/>
          <w:lang w:val="en-US"/>
        </w:rPr>
        <w:t>Fitzsimons (2000)</w:t>
      </w:r>
      <w:r w:rsidRPr="00BE3A1A">
        <w:rPr>
          <w:rFonts w:ascii="Cambria Math" w:hAnsi="Cambria Math"/>
          <w:lang w:val="en-US"/>
        </w:rPr>
        <w:t xml:space="preserve"> on stockouts and </w:t>
      </w:r>
      <w:r w:rsidRPr="00BE3A1A">
        <w:rPr>
          <w:rFonts w:ascii="Cambria Math" w:hAnsi="Cambria Math"/>
          <w:b/>
          <w:bCs/>
          <w:lang w:val="en-US"/>
        </w:rPr>
        <w:t>Tian et al. (2022)</w:t>
      </w:r>
      <w:r w:rsidRPr="00BE3A1A">
        <w:rPr>
          <w:rFonts w:ascii="Cambria Math" w:hAnsi="Cambria Math"/>
          <w:lang w:val="en-US"/>
        </w:rPr>
        <w:t xml:space="preserve"> on the same theme, showing consumers read moderate stock-outs as a quality signal and buy more, but when most options are sold out and choice flexibility drops, reactance rises and sales fall — again the non-monotonic threat–response curve.</w:t>
      </w:r>
    </w:p>
    <w:p w14:paraId="010B974E" w14:textId="77777777" w:rsidR="00BE3A1A" w:rsidRPr="00BE3A1A" w:rsidRDefault="00BE3A1A" w:rsidP="00BE3A1A">
      <w:pPr>
        <w:pStyle w:val="Textbody"/>
        <w:numPr>
          <w:ilvl w:val="0"/>
          <w:numId w:val="5"/>
        </w:numPr>
        <w:rPr>
          <w:rFonts w:ascii="Cambria Math" w:hAnsi="Cambria Math"/>
          <w:lang w:val="en-US"/>
        </w:rPr>
      </w:pPr>
      <w:r w:rsidRPr="00BE3A1A">
        <w:rPr>
          <w:rFonts w:ascii="Cambria Math" w:hAnsi="Cambria Math"/>
          <w:b/>
          <w:bCs/>
          <w:lang w:val="en-US"/>
        </w:rPr>
        <w:t>Fitzsimons, G. J. &amp; Lehmann, D. R. (2004), "Reactance to recommendations"</w:t>
      </w:r>
      <w:r w:rsidRPr="00BE3A1A">
        <w:rPr>
          <w:rFonts w:ascii="Cambria Math" w:hAnsi="Cambria Math"/>
          <w:lang w:val="en-US"/>
        </w:rPr>
        <w:t xml:space="preserve"> (</w:t>
      </w:r>
      <w:r w:rsidRPr="00BE3A1A">
        <w:rPr>
          <w:rFonts w:ascii="Cambria Math" w:hAnsi="Cambria Math"/>
          <w:i/>
          <w:iCs/>
          <w:lang w:val="en-US"/>
        </w:rPr>
        <w:t>Marketing Science</w:t>
      </w:r>
      <w:r w:rsidRPr="00BE3A1A">
        <w:rPr>
          <w:rFonts w:ascii="Cambria Math" w:hAnsi="Cambria Math"/>
          <w:lang w:val="en-US"/>
        </w:rPr>
        <w:t>) — unsolicited recommendations producing contrary choices, which is the demand-side analogue of the Falk–Kosfeld supply-side result.</w:t>
      </w:r>
    </w:p>
    <w:p w14:paraId="34B84854"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 xml:space="preserve">For a methodological map of this wing, the review by </w:t>
      </w:r>
      <w:r w:rsidRPr="00BE3A1A">
        <w:rPr>
          <w:rFonts w:ascii="Cambria Math" w:hAnsi="Cambria Math"/>
          <w:b/>
          <w:bCs/>
          <w:lang w:val="en-US"/>
        </w:rPr>
        <w:t>"Consumer Reactance: A Review of Research Methodologies"</w:t>
      </w:r>
      <w:r w:rsidRPr="00BE3A1A">
        <w:rPr>
          <w:rFonts w:ascii="Cambria Math" w:hAnsi="Cambria Math"/>
          <w:lang w:val="en-US"/>
        </w:rPr>
        <w:t xml:space="preserve"> classifies designs, contexts, and samples across 41 empirical consumer-reactance articles.</w:t>
      </w:r>
    </w:p>
    <w:p w14:paraId="1CBB92D0" w14:textId="77777777" w:rsidR="00BE3A1A" w:rsidRPr="00BE3A1A" w:rsidRDefault="00BE3A1A" w:rsidP="00BE3A1A">
      <w:pPr>
        <w:pStyle w:val="Textbody"/>
        <w:rPr>
          <w:rFonts w:ascii="Cambria Math" w:hAnsi="Cambria Math"/>
        </w:rPr>
      </w:pPr>
      <w:r w:rsidRPr="00BE3A1A">
        <w:rPr>
          <w:rFonts w:ascii="Cambria Math" w:hAnsi="Cambria Math"/>
        </w:rPr>
        <w:pict w14:anchorId="1A3AEC1A">
          <v:rect id="_x0000_i1028" style="width:0;height:1.5pt" o:hralign="center" o:hrstd="t" o:hr="t" fillcolor="#a0a0a0" stroked="f"/>
        </w:pict>
      </w:r>
    </w:p>
    <w:p w14:paraId="62FC01CD" w14:textId="77777777" w:rsidR="00BE3A1A" w:rsidRPr="00BE3A1A" w:rsidRDefault="00BE3A1A" w:rsidP="00BE3A1A">
      <w:pPr>
        <w:pStyle w:val="Textbody"/>
        <w:rPr>
          <w:rFonts w:ascii="Cambria Math" w:hAnsi="Cambria Math"/>
          <w:lang w:val="en-US"/>
        </w:rPr>
      </w:pPr>
      <w:r w:rsidRPr="00BE3A1A">
        <w:rPr>
          <w:rFonts w:ascii="Cambria Math" w:hAnsi="Cambria Math"/>
          <w:b/>
          <w:bCs/>
          <w:lang w:val="en-US"/>
        </w:rPr>
        <w:t>One synthesizing observation</w:t>
      </w:r>
      <w:r w:rsidRPr="00BE3A1A">
        <w:rPr>
          <w:rFonts w:ascii="Cambria Math" w:hAnsi="Cambria Math"/>
          <w:lang w:val="en-US"/>
        </w:rPr>
        <w:t xml:space="preserve"> that may be useful for your own framing: economics has essentially split Brehm's construct into two research objects. The </w:t>
      </w:r>
      <w:r w:rsidRPr="00BE3A1A">
        <w:rPr>
          <w:rFonts w:ascii="Cambria Math" w:hAnsi="Cambria Math"/>
          <w:b/>
          <w:bCs/>
          <w:lang w:val="en-US"/>
        </w:rPr>
        <w:t>principal–agent / control-</w:t>
      </w:r>
      <w:r w:rsidRPr="00BE3A1A">
        <w:rPr>
          <w:rFonts w:ascii="Cambria Math" w:hAnsi="Cambria Math"/>
          <w:b/>
          <w:bCs/>
          <w:lang w:val="en-US"/>
        </w:rPr>
        <w:lastRenderedPageBreak/>
        <w:t>aversion</w:t>
      </w:r>
      <w:r w:rsidRPr="00BE3A1A">
        <w:rPr>
          <w:rFonts w:ascii="Cambria Math" w:hAnsi="Cambria Math"/>
          <w:lang w:val="en-US"/>
        </w:rPr>
        <w:t xml:space="preserve"> line (Falk–Kosfeld and descendants) treats reactance as a </w:t>
      </w:r>
      <w:r w:rsidRPr="00BE3A1A">
        <w:rPr>
          <w:rFonts w:ascii="Cambria Math" w:hAnsi="Cambria Math"/>
          <w:i/>
          <w:iCs/>
          <w:lang w:val="en-US"/>
        </w:rPr>
        <w:t>response to being controlled by a strategic actor</w:t>
      </w:r>
      <w:r w:rsidRPr="00BE3A1A">
        <w:rPr>
          <w:rFonts w:ascii="Cambria Math" w:hAnsi="Cambria Math"/>
          <w:lang w:val="en-US"/>
        </w:rPr>
        <w:t xml:space="preserve">, and models it via signaling and reciprocity. The </w:t>
      </w:r>
      <w:r w:rsidRPr="00BE3A1A">
        <w:rPr>
          <w:rFonts w:ascii="Cambria Math" w:hAnsi="Cambria Math"/>
          <w:b/>
          <w:bCs/>
          <w:lang w:val="en-US"/>
        </w:rPr>
        <w:t>choice-theoretic</w:t>
      </w:r>
      <w:r w:rsidRPr="00BE3A1A">
        <w:rPr>
          <w:rFonts w:ascii="Cambria Math" w:hAnsi="Cambria Math"/>
          <w:lang w:val="en-US"/>
        </w:rPr>
        <w:t xml:space="preserve"> line (Kumashiro–Miyagawa, the forbidden-fruit axiomatization) treats it as a </w:t>
      </w:r>
      <w:r w:rsidRPr="00BE3A1A">
        <w:rPr>
          <w:rFonts w:ascii="Cambria Math" w:hAnsi="Cambria Math"/>
          <w:i/>
          <w:iCs/>
          <w:lang w:val="en-US"/>
        </w:rPr>
        <w:t>property of preferences over shrinking opportunity sets</w:t>
      </w:r>
      <w:r w:rsidRPr="00BE3A1A">
        <w:rPr>
          <w:rFonts w:ascii="Cambria Math" w:hAnsi="Cambria Math"/>
          <w:lang w:val="en-US"/>
        </w:rPr>
        <w:t xml:space="preserve">, independent of any controller. These are genuinely different formalizations of the same 1966 idea, and to my knowledge no one has fully unified them — which, given your work on mechanism design and now on algorithmic agents, might be an interesting gap: what does a mechanism look like when agents are control-averse in the Falk–Kosfeld sense </w:t>
      </w:r>
      <w:r w:rsidRPr="00BE3A1A">
        <w:rPr>
          <w:rFonts w:ascii="Cambria Math" w:hAnsi="Cambria Math"/>
          <w:i/>
          <w:iCs/>
          <w:lang w:val="en-US"/>
        </w:rPr>
        <w:t>and</w:t>
      </w:r>
      <w:r w:rsidRPr="00BE3A1A">
        <w:rPr>
          <w:rFonts w:ascii="Cambria Math" w:hAnsi="Cambria Math"/>
          <w:lang w:val="en-US"/>
        </w:rPr>
        <w:t xml:space="preserve"> restriction-sensitive in the choice-theoretic sense?</w:t>
      </w:r>
    </w:p>
    <w:p w14:paraId="78DDFB8F" w14:textId="77777777" w:rsidR="00BE3A1A" w:rsidRPr="00BE3A1A" w:rsidRDefault="00BE3A1A" w:rsidP="00BE3A1A">
      <w:pPr>
        <w:pStyle w:val="Textbody"/>
        <w:rPr>
          <w:rFonts w:ascii="Cambria Math" w:hAnsi="Cambria Math"/>
          <w:lang w:val="en-US"/>
        </w:rPr>
      </w:pPr>
      <w:r w:rsidRPr="00BE3A1A">
        <w:rPr>
          <w:rFonts w:ascii="Cambria Math" w:hAnsi="Cambria Math"/>
          <w:lang w:val="en-US"/>
        </w:rPr>
        <w:t>Want me to pull together full citations with DOIs for this economics subset as a reference list, or go deeper on any one of the four strands — the formal-theory papers in particular would reward a closer read if you can access the Kobe discussion paper and the arXiv choice-theory piece?</w:t>
      </w:r>
    </w:p>
    <w:p w14:paraId="42EC7D02" w14:textId="77777777" w:rsidR="00BE3A1A" w:rsidRPr="005C7698" w:rsidRDefault="00BE3A1A" w:rsidP="005C7698">
      <w:pPr>
        <w:pStyle w:val="Textbody"/>
        <w:rPr>
          <w:rFonts w:ascii="Cambria Math" w:hAnsi="Cambria Math"/>
          <w:lang w:val="en-US"/>
        </w:rPr>
      </w:pPr>
    </w:p>
    <w:p w14:paraId="2740BFDE" w14:textId="77777777" w:rsidR="005C7698" w:rsidRPr="005C7698" w:rsidRDefault="005C7698">
      <w:pPr>
        <w:pStyle w:val="Textbody"/>
        <w:rPr>
          <w:rFonts w:ascii="Cambria Math" w:hAnsi="Cambria Math"/>
          <w:lang w:val="en-US"/>
        </w:rPr>
      </w:pPr>
    </w:p>
    <w:p w14:paraId="045804B9" w14:textId="77777777" w:rsidR="00A510B5" w:rsidRPr="005C7698" w:rsidRDefault="00A510B5">
      <w:pPr>
        <w:pStyle w:val="Textbody"/>
        <w:rPr>
          <w:rFonts w:ascii="Cambria Math" w:hAnsi="Cambria Math"/>
          <w:lang w:val="en-US"/>
        </w:rPr>
      </w:pPr>
    </w:p>
    <w:p w14:paraId="358F9DB9" w14:textId="77777777" w:rsidR="00A847FA" w:rsidRPr="005C7698" w:rsidRDefault="00A847FA">
      <w:pPr>
        <w:pStyle w:val="Textbody"/>
        <w:rPr>
          <w:rFonts w:hint="eastAsia"/>
          <w:lang w:val="en-US"/>
        </w:rPr>
      </w:pPr>
    </w:p>
    <w:sectPr w:rsidR="00A847FA" w:rsidRPr="005C7698">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 Pezanis-Christou" w:date="2026-07-19T12:41:00Z" w:initials="PP">
    <w:p w14:paraId="13472D5C" w14:textId="77777777" w:rsidR="004715B2" w:rsidRDefault="004715B2" w:rsidP="004715B2">
      <w:pPr>
        <w:pStyle w:val="Commentaire"/>
      </w:pPr>
      <w:r>
        <w:rPr>
          <w:rStyle w:val="Marquedecommentaire"/>
          <w:rFonts w:hint="eastAsia"/>
        </w:rPr>
        <w:annotationRef/>
      </w:r>
      <w:r>
        <w:rPr>
          <w:rFonts w:hint="eastAsia"/>
        </w:rPr>
        <w:t>Ce cadre de th</w:t>
      </w:r>
      <w:r>
        <w:rPr>
          <w:rFonts w:hint="eastAsia"/>
        </w:rPr>
        <w:t>é</w:t>
      </w:r>
      <w:r>
        <w:rPr>
          <w:rFonts w:hint="eastAsia"/>
        </w:rPr>
        <w:t xml:space="preserve">orie des jeux doit encore </w:t>
      </w:r>
      <w:r>
        <w:rPr>
          <w:rFonts w:hint="eastAsia"/>
        </w:rPr>
        <w:t>ê</w:t>
      </w:r>
      <w:r>
        <w:rPr>
          <w:rFonts w:hint="eastAsia"/>
        </w:rPr>
        <w:t>tre d</w:t>
      </w:r>
      <w:r>
        <w:rPr>
          <w:rFonts w:hint="eastAsia"/>
        </w:rPr>
        <w:t>é</w:t>
      </w:r>
      <w:r>
        <w:rPr>
          <w:rFonts w:hint="eastAsia"/>
        </w:rPr>
        <w:t>fini.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472D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5A4789" w16cex:dateUtc="2026-07-19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472D5C" w16cid:durableId="2F5A47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CDDE" w14:textId="77777777" w:rsidR="006848E2" w:rsidRDefault="006848E2">
      <w:pPr>
        <w:rPr>
          <w:rFonts w:hint="eastAsia"/>
        </w:rPr>
      </w:pPr>
      <w:r>
        <w:separator/>
      </w:r>
    </w:p>
  </w:endnote>
  <w:endnote w:type="continuationSeparator" w:id="0">
    <w:p w14:paraId="074F23B0" w14:textId="77777777" w:rsidR="006848E2" w:rsidRDefault="006848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7DD75" w14:textId="77777777" w:rsidR="006848E2" w:rsidRDefault="006848E2">
      <w:pPr>
        <w:rPr>
          <w:rFonts w:hint="eastAsia"/>
        </w:rPr>
      </w:pPr>
      <w:r>
        <w:rPr>
          <w:color w:val="000000"/>
        </w:rPr>
        <w:separator/>
      </w:r>
    </w:p>
  </w:footnote>
  <w:footnote w:type="continuationSeparator" w:id="0">
    <w:p w14:paraId="5D8F5058" w14:textId="77777777" w:rsidR="006848E2" w:rsidRDefault="006848E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D96"/>
    <w:multiLevelType w:val="multilevel"/>
    <w:tmpl w:val="371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474"/>
    <w:multiLevelType w:val="multilevel"/>
    <w:tmpl w:val="C2A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66809"/>
    <w:multiLevelType w:val="multilevel"/>
    <w:tmpl w:val="032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F18E1"/>
    <w:multiLevelType w:val="multilevel"/>
    <w:tmpl w:val="2C7E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43B3B"/>
    <w:multiLevelType w:val="multilevel"/>
    <w:tmpl w:val="4A8C5442"/>
    <w:lvl w:ilvl="0">
      <w:numFmt w:val="bullet"/>
      <w:lvlText w:val="•"/>
      <w:lvlJc w:val="left"/>
      <w:pPr>
        <w:ind w:left="720" w:hanging="360"/>
      </w:pPr>
      <w:rPr>
        <w:rFonts w:ascii="OpenSymbol" w:eastAsia="OpenSymbol" w:hAnsi="OpenSymbol" w:cs="OpenSymbol"/>
        <w:lang w:val="fr-FR"/>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870490087">
    <w:abstractNumId w:val="4"/>
  </w:num>
  <w:num w:numId="2" w16cid:durableId="1457717634">
    <w:abstractNumId w:val="0"/>
  </w:num>
  <w:num w:numId="3" w16cid:durableId="960309864">
    <w:abstractNumId w:val="1"/>
  </w:num>
  <w:num w:numId="4" w16cid:durableId="1269779332">
    <w:abstractNumId w:val="3"/>
  </w:num>
  <w:num w:numId="5" w16cid:durableId="77092861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Pezanis-Christou">
    <w15:presenceInfo w15:providerId="AD" w15:userId="S::Paul.PEZANIS-CHRISTOU@unice.fr::1cab88de-ab91-425b-ae9e-78fbf7e883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A847FA"/>
    <w:rsid w:val="00113896"/>
    <w:rsid w:val="002B286A"/>
    <w:rsid w:val="004715B2"/>
    <w:rsid w:val="00484764"/>
    <w:rsid w:val="00484D69"/>
    <w:rsid w:val="005A4DB7"/>
    <w:rsid w:val="005C7698"/>
    <w:rsid w:val="006848E2"/>
    <w:rsid w:val="00745FF1"/>
    <w:rsid w:val="007C5714"/>
    <w:rsid w:val="00830233"/>
    <w:rsid w:val="00884788"/>
    <w:rsid w:val="009579C5"/>
    <w:rsid w:val="009F33B0"/>
    <w:rsid w:val="00A510B5"/>
    <w:rsid w:val="00A847FA"/>
    <w:rsid w:val="00B90090"/>
    <w:rsid w:val="00B90FCD"/>
    <w:rsid w:val="00BE3A1A"/>
    <w:rsid w:val="00C94E15"/>
    <w:rsid w:val="00CB0F4E"/>
    <w:rsid w:val="00D15DAB"/>
    <w:rsid w:val="00D657B1"/>
    <w:rsid w:val="00DE61C9"/>
    <w:rsid w:val="00E62F7D"/>
    <w:rsid w:val="00FE57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AB4A"/>
  <w15:docId w15:val="{DD294BAD-B3FD-4D92-A438-23A845E0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fr-F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2">
    <w:name w:val="heading 2"/>
    <w:basedOn w:val="Heading"/>
    <w:next w:val="Textbody"/>
    <w:uiPriority w:val="9"/>
    <w:unhideWhenUsed/>
    <w:qFormat/>
    <w:pPr>
      <w:spacing w:before="200"/>
      <w:outlineLvl w:val="1"/>
    </w:pPr>
    <w:rPr>
      <w:rFonts w:ascii="Liberation Serif" w:eastAsia="NSimSun" w:hAnsi="Liberation Serif"/>
      <w:b/>
      <w:bCs/>
      <w:sz w:val="36"/>
      <w:szCs w:val="36"/>
    </w:rPr>
  </w:style>
  <w:style w:type="paragraph" w:styleId="Titre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Quotations">
    <w:name w:val="Quotations"/>
    <w:basedOn w:val="Standard"/>
    <w:pPr>
      <w:spacing w:after="283"/>
      <w:ind w:left="567" w:right="567"/>
    </w:pPr>
  </w:style>
  <w:style w:type="paragraph" w:customStyle="1" w:styleId="HorizontalLine">
    <w:name w:val="Horizontal Line"/>
    <w:basedOn w:val="Standard"/>
    <w:next w:val="Textbody"/>
    <w:pPr>
      <w:suppressLineNumbers/>
      <w:spacing w:after="283"/>
    </w:pPr>
    <w:rPr>
      <w:sz w:val="12"/>
      <w:szCs w:val="12"/>
    </w:rPr>
  </w:style>
  <w:style w:type="paragraph" w:styleId="Titre">
    <w:name w:val="Title"/>
    <w:basedOn w:val="Heading"/>
    <w:next w:val="Textbody"/>
    <w:uiPriority w:val="10"/>
    <w:qFormat/>
    <w:pPr>
      <w:jc w:val="center"/>
    </w:pPr>
    <w:rPr>
      <w:b/>
      <w:bCs/>
      <w:sz w:val="56"/>
      <w:szCs w:val="56"/>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styleId="Accentuation">
    <w:name w:val="Emphasis"/>
    <w:rPr>
      <w:i/>
      <w:iCs/>
    </w:rPr>
  </w:style>
  <w:style w:type="paragraph" w:styleId="Rvision">
    <w:name w:val="Revision"/>
    <w:pPr>
      <w:textAlignment w:val="auto"/>
    </w:pPr>
    <w:rPr>
      <w:rFonts w:cs="Mangal"/>
      <w:szCs w:val="21"/>
    </w:rPr>
  </w:style>
  <w:style w:type="character" w:styleId="Textedelespacerserv">
    <w:name w:val="Placeholder Text"/>
    <w:basedOn w:val="Policepardfaut"/>
    <w:rPr>
      <w:color w:val="666666"/>
    </w:rPr>
  </w:style>
  <w:style w:type="character" w:styleId="Marquedecommentaire">
    <w:name w:val="annotation reference"/>
    <w:basedOn w:val="Policepardfaut"/>
    <w:uiPriority w:val="99"/>
    <w:semiHidden/>
    <w:unhideWhenUsed/>
    <w:rsid w:val="004715B2"/>
    <w:rPr>
      <w:sz w:val="16"/>
      <w:szCs w:val="16"/>
    </w:rPr>
  </w:style>
  <w:style w:type="paragraph" w:styleId="Commentaire">
    <w:name w:val="annotation text"/>
    <w:basedOn w:val="Normal"/>
    <w:link w:val="CommentaireCar"/>
    <w:uiPriority w:val="99"/>
    <w:unhideWhenUsed/>
    <w:rsid w:val="004715B2"/>
    <w:rPr>
      <w:rFonts w:cs="Mangal"/>
      <w:sz w:val="20"/>
      <w:szCs w:val="18"/>
    </w:rPr>
  </w:style>
  <w:style w:type="character" w:customStyle="1" w:styleId="CommentaireCar">
    <w:name w:val="Commentaire Car"/>
    <w:basedOn w:val="Policepardfaut"/>
    <w:link w:val="Commentaire"/>
    <w:uiPriority w:val="99"/>
    <w:rsid w:val="004715B2"/>
    <w:rPr>
      <w:rFonts w:cs="Mangal"/>
      <w:sz w:val="20"/>
      <w:szCs w:val="18"/>
    </w:rPr>
  </w:style>
  <w:style w:type="paragraph" w:styleId="Objetducommentaire">
    <w:name w:val="annotation subject"/>
    <w:basedOn w:val="Commentaire"/>
    <w:next w:val="Commentaire"/>
    <w:link w:val="ObjetducommentaireCar"/>
    <w:uiPriority w:val="99"/>
    <w:semiHidden/>
    <w:unhideWhenUsed/>
    <w:rsid w:val="004715B2"/>
    <w:rPr>
      <w:b/>
      <w:bCs/>
    </w:rPr>
  </w:style>
  <w:style w:type="character" w:customStyle="1" w:styleId="ObjetducommentaireCar">
    <w:name w:val="Objet du commentaire Car"/>
    <w:basedOn w:val="CommentaireCar"/>
    <w:link w:val="Objetducommentaire"/>
    <w:uiPriority w:val="99"/>
    <w:semiHidden/>
    <w:rsid w:val="004715B2"/>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6340</Words>
  <Characters>34875</Characters>
  <Application>Microsoft Office Word</Application>
  <DocSecurity>0</DocSecurity>
  <Lines>290</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PEZANIS-CHRISTOU</dc:creator>
  <cp:keywords/>
  <dc:description/>
  <cp:lastModifiedBy>Paul Pezanis-Christou</cp:lastModifiedBy>
  <cp:revision>6</cp:revision>
  <dcterms:created xsi:type="dcterms:W3CDTF">2026-07-19T10:33:00Z</dcterms:created>
  <dcterms:modified xsi:type="dcterms:W3CDTF">2026-07-19T10:41:00Z</dcterms:modified>
</cp:coreProperties>
</file>