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B6A" w:rsidRDefault="00DF04FF">
      <w:pPr>
        <w:jc w:val="center"/>
        <w:rPr>
          <w:rFonts w:ascii="Consolas" w:hAnsi="Consolas" w:cs="Consolas"/>
          <w:b/>
          <w:sz w:val="36"/>
          <w:szCs w:val="24"/>
          <w:lang w:val="en-US"/>
        </w:rPr>
      </w:pPr>
      <w:r>
        <w:rPr>
          <w:rFonts w:ascii="Consolas" w:hAnsi="Consolas" w:cs="Consolas"/>
          <w:b/>
          <w:sz w:val="36"/>
          <w:szCs w:val="24"/>
          <w:lang w:val="en-US"/>
        </w:rPr>
        <w:t>Programming in UML using activities</w:t>
      </w:r>
    </w:p>
    <w:p w:rsidR="00A17B6A" w:rsidRDefault="00DF04FF">
      <w:pPr>
        <w:jc w:val="center"/>
        <w:rPr>
          <w:rFonts w:ascii="Consolas" w:hAnsi="Consolas" w:cs="Consolas"/>
          <w:sz w:val="36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Jérémie </w:t>
      </w:r>
      <w:proofErr w:type="spellStart"/>
      <w:r>
        <w:rPr>
          <w:rFonts w:ascii="Consolas" w:hAnsi="Consolas" w:cs="Consolas"/>
          <w:sz w:val="24"/>
          <w:szCs w:val="24"/>
        </w:rPr>
        <w:t>Tatibouët</w:t>
      </w:r>
      <w:proofErr w:type="spellEnd"/>
      <w:r>
        <w:rPr>
          <w:rFonts w:ascii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sz w:val="24"/>
          <w:szCs w:val="24"/>
        </w:rPr>
        <w:t>Shuai</w:t>
      </w:r>
      <w:proofErr w:type="spellEnd"/>
      <w:r>
        <w:rPr>
          <w:rFonts w:ascii="Consolas" w:hAnsi="Consolas" w:cs="Consolas"/>
          <w:sz w:val="24"/>
          <w:szCs w:val="24"/>
        </w:rPr>
        <w:t xml:space="preserve"> Li, Patrick Tessier and François Terrier </w:t>
      </w:r>
      <w:r>
        <w:rPr>
          <w:rFonts w:ascii="Consolas" w:hAnsi="Consolas" w:cs="Consolas"/>
          <w:sz w:val="36"/>
          <w:szCs w:val="24"/>
        </w:rPr>
        <w:t xml:space="preserve"> </w:t>
      </w:r>
    </w:p>
    <w:p w:rsidR="00A17B6A" w:rsidRDefault="00A17B6A">
      <w:pPr>
        <w:jc w:val="both"/>
        <w:rPr>
          <w:rFonts w:ascii="Consolas" w:hAnsi="Consolas" w:cs="Consolas"/>
          <w:sz w:val="24"/>
          <w:szCs w:val="24"/>
        </w:rPr>
      </w:pPr>
    </w:p>
    <w:tbl>
      <w:tblPr>
        <w:tblStyle w:val="Grilledutableau"/>
        <w:tblW w:w="2381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1909"/>
        <w:gridCol w:w="11907"/>
      </w:tblGrid>
      <w:tr w:rsidR="00A17B6A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A17B6A" w:rsidRDefault="00DF04FF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eastAsia="Calibri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Lab 1 – The basics of UML activities</w:t>
            </w:r>
          </w:p>
        </w:tc>
        <w:tc>
          <w:tcPr>
            <w:tcW w:w="11907" w:type="dxa"/>
            <w:shd w:val="clear" w:color="auto" w:fill="0070C0"/>
          </w:tcPr>
          <w:p w:rsidR="00A17B6A" w:rsidRDefault="00A17B6A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A17B6A" w:rsidRDefault="00A17B6A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A17B6A" w:rsidRDefault="00DF04FF">
      <w:pPr>
        <w:jc w:val="center"/>
        <w:rPr>
          <w:rFonts w:ascii="Consolas" w:hAnsi="Consolas" w:cs="Consolas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524125" cy="14097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B6A" w:rsidRDefault="00A17B6A">
      <w:pPr>
        <w:jc w:val="center"/>
        <w:rPr>
          <w:rFonts w:ascii="Consolas" w:hAnsi="Consolas" w:cs="Consolas"/>
          <w:szCs w:val="24"/>
          <w:lang w:val="en-US"/>
        </w:rPr>
      </w:pPr>
    </w:p>
    <w:p w:rsidR="00A17B6A" w:rsidRDefault="00DF04FF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The activity below is the implementation of the “distance” operation.</w:t>
      </w:r>
    </w:p>
    <w:p w:rsidR="00A17B6A" w:rsidRDefault="00DF04FF">
      <w:pPr>
        <w:jc w:val="both"/>
        <w:rPr>
          <w:rFonts w:ascii="Consolas" w:hAnsi="Consolas" w:cs="Consolas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283325" cy="5064760"/>
            <wp:effectExtent l="0" t="0" r="0" b="0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325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B6A" w:rsidRDefault="00A17B6A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1909"/>
        <w:gridCol w:w="11907"/>
      </w:tblGrid>
      <w:tr w:rsidR="00A17B6A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A17B6A" w:rsidRDefault="00DF04FF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eastAsia="Calibri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Lab 2 – Activities used in the </w:t>
            </w:r>
            <w:r>
              <w:rPr>
                <w:rFonts w:ascii="Consolas" w:eastAsia="Calibri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context of communicating active objects</w:t>
            </w:r>
          </w:p>
        </w:tc>
        <w:tc>
          <w:tcPr>
            <w:tcW w:w="11907" w:type="dxa"/>
            <w:shd w:val="clear" w:color="auto" w:fill="0070C0"/>
          </w:tcPr>
          <w:p w:rsidR="00A17B6A" w:rsidRDefault="00A17B6A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A17B6A" w:rsidRDefault="00A17B6A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A17B6A" w:rsidRDefault="00A17B6A">
      <w:pPr>
        <w:pStyle w:val="Paragraphedeliste"/>
        <w:ind w:left="842"/>
        <w:jc w:val="both"/>
        <w:rPr>
          <w:rFonts w:ascii="Consolas" w:hAnsi="Consolas" w:cs="Consolas"/>
          <w:szCs w:val="24"/>
          <w:lang w:val="en-US"/>
        </w:rPr>
      </w:pPr>
    </w:p>
    <w:p w:rsidR="00A17B6A" w:rsidRDefault="00DF04FF">
      <w:pPr>
        <w:pStyle w:val="Paragraphedeliste"/>
        <w:ind w:left="0"/>
        <w:jc w:val="center"/>
        <w:rPr>
          <w:rFonts w:ascii="Consolas" w:hAnsi="Consolas" w:cs="Consolas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0720" cy="2586990"/>
            <wp:effectExtent l="0" t="0" r="0" b="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9072" w:type="dxa"/>
        <w:tblLayout w:type="fixed"/>
        <w:tblLook w:val="04A0" w:firstRow="1" w:lastRow="0" w:firstColumn="1" w:lastColumn="0" w:noHBand="0" w:noVBand="1"/>
      </w:tblPr>
      <w:tblGrid>
        <w:gridCol w:w="4496"/>
        <w:gridCol w:w="4576"/>
      </w:tblGrid>
      <w:tr w:rsidR="00A17B6A">
        <w:tc>
          <w:tcPr>
            <w:tcW w:w="4496" w:type="dxa"/>
            <w:tcBorders>
              <w:top w:val="nil"/>
              <w:left w:val="nil"/>
              <w:bottom w:val="nil"/>
              <w:right w:val="nil"/>
            </w:tcBorders>
          </w:tcPr>
          <w:p w:rsidR="00A17B6A" w:rsidRDefault="00DF04FF">
            <w:pPr>
              <w:spacing w:after="0" w:line="240" w:lineRule="auto"/>
              <w:jc w:val="center"/>
              <w:rPr>
                <w:rFonts w:ascii="Consolas" w:hAnsi="Consolas" w:cs="Consolas"/>
                <w:szCs w:val="24"/>
                <w:lang w:val="en-US"/>
              </w:rPr>
            </w:pPr>
            <w:r>
              <w:rPr>
                <w:rFonts w:eastAsia="Calibri"/>
                <w:noProof/>
                <w:lang w:val="en-US"/>
              </w:rPr>
              <w:drawing>
                <wp:inline distT="0" distB="0" distL="0" distR="0">
                  <wp:extent cx="2824480" cy="380111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4480" cy="380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7B6A" w:rsidRDefault="00DF04FF">
            <w:pPr>
              <w:spacing w:after="0" w:line="240" w:lineRule="auto"/>
              <w:jc w:val="center"/>
              <w:rPr>
                <w:rFonts w:ascii="Consolas" w:hAnsi="Consolas" w:cs="Consolas"/>
                <w:szCs w:val="24"/>
                <w:lang w:val="en-US"/>
              </w:rPr>
            </w:pPr>
            <w:r>
              <w:rPr>
                <w:rFonts w:eastAsia="Calibri"/>
                <w:noProof/>
                <w:lang w:val="en-US"/>
              </w:rPr>
              <w:drawing>
                <wp:inline distT="0" distB="0" distL="0" distR="0">
                  <wp:extent cx="2872740" cy="3625850"/>
                  <wp:effectExtent l="0" t="0" r="0" b="0"/>
                  <wp:docPr id="5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2740" cy="362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17B6A" w:rsidRDefault="00A17B6A">
      <w:pPr>
        <w:jc w:val="both"/>
        <w:rPr>
          <w:rFonts w:ascii="Consolas" w:hAnsi="Consolas" w:cs="Consolas"/>
          <w:szCs w:val="24"/>
          <w:lang w:val="en-US"/>
        </w:rPr>
      </w:pPr>
    </w:p>
    <w:p w:rsidR="00A17B6A" w:rsidRDefault="00DF04FF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The two activities shown above respectively describes the classifier behaviors of the “Ticker” and “</w:t>
      </w:r>
      <w:proofErr w:type="spellStart"/>
      <w:r>
        <w:rPr>
          <w:rFonts w:ascii="Consolas" w:hAnsi="Consolas" w:cs="Consolas"/>
          <w:szCs w:val="24"/>
          <w:lang w:val="en-US"/>
        </w:rPr>
        <w:t>Incrementer</w:t>
      </w:r>
      <w:proofErr w:type="spellEnd"/>
      <w:r>
        <w:rPr>
          <w:rFonts w:ascii="Consolas" w:hAnsi="Consolas" w:cs="Consolas"/>
          <w:szCs w:val="24"/>
          <w:lang w:val="en-US"/>
        </w:rPr>
        <w:t>” active classes.</w:t>
      </w:r>
    </w:p>
    <w:p w:rsidR="00A17B6A" w:rsidRDefault="00A17B6A">
      <w:pPr>
        <w:jc w:val="both"/>
        <w:rPr>
          <w:rFonts w:ascii="Consolas" w:hAnsi="Consolas" w:cs="Consolas"/>
          <w:szCs w:val="24"/>
          <w:lang w:val="en-US"/>
        </w:rPr>
      </w:pPr>
    </w:p>
    <w:p w:rsidR="00A17B6A" w:rsidRDefault="00A17B6A">
      <w:pPr>
        <w:jc w:val="both"/>
        <w:rPr>
          <w:rFonts w:ascii="Consolas" w:hAnsi="Consolas" w:cs="Consolas"/>
          <w:szCs w:val="24"/>
          <w:lang w:val="en-US"/>
        </w:rPr>
      </w:pPr>
    </w:p>
    <w:p w:rsidR="00A17B6A" w:rsidRDefault="00DF04FF">
      <w:pPr>
        <w:jc w:val="center"/>
        <w:rPr>
          <w:rFonts w:ascii="Consolas" w:hAnsi="Consolas" w:cs="Consolas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502275" cy="2962275"/>
            <wp:effectExtent l="0" t="0" r="0" b="0"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B6A" w:rsidRDefault="00DF04FF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The activity shown above describes the implementation of the increment operation. The “</w:t>
      </w:r>
      <w:proofErr w:type="spellStart"/>
      <w:r>
        <w:rPr>
          <w:rFonts w:ascii="Consolas" w:hAnsi="Consolas" w:cs="Consolas"/>
          <w:szCs w:val="24"/>
          <w:lang w:val="en-US"/>
        </w:rPr>
        <w:t>set_counter</w:t>
      </w:r>
      <w:proofErr w:type="spellEnd"/>
      <w:r>
        <w:rPr>
          <w:rFonts w:ascii="Consolas" w:hAnsi="Consolas" w:cs="Consolas"/>
          <w:szCs w:val="24"/>
          <w:lang w:val="en-US"/>
        </w:rPr>
        <w:t>” action modifies the attribute “counter”</w:t>
      </w:r>
      <w:proofErr w:type="gramStart"/>
      <w:r>
        <w:rPr>
          <w:rFonts w:ascii="Consolas" w:hAnsi="Consolas" w:cs="Consolas"/>
          <w:szCs w:val="24"/>
          <w:lang w:val="en-US"/>
        </w:rPr>
        <w:t>,</w:t>
      </w:r>
      <w:proofErr w:type="gramEnd"/>
      <w:r>
        <w:rPr>
          <w:rFonts w:ascii="Consolas" w:hAnsi="Consolas" w:cs="Consolas"/>
          <w:szCs w:val="24"/>
          <w:lang w:val="en-US"/>
        </w:rPr>
        <w:t xml:space="preserve"> the “result” output-pin is not used and could actually be removed.</w:t>
      </w:r>
    </w:p>
    <w:p w:rsidR="00A17B6A" w:rsidRDefault="00A17B6A">
      <w:pPr>
        <w:jc w:val="both"/>
        <w:rPr>
          <w:rFonts w:ascii="Consolas" w:hAnsi="Consolas" w:cs="Consolas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1909"/>
        <w:gridCol w:w="11907"/>
      </w:tblGrid>
      <w:tr w:rsidR="00A17B6A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A17B6A" w:rsidRDefault="00DF04FF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eastAsia="Calibri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Lab 3 – Apply your knowledge about activities i</w:t>
            </w:r>
            <w:r>
              <w:rPr>
                <w:rFonts w:ascii="Consolas" w:eastAsia="Calibri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n the context of the elevator</w:t>
            </w:r>
          </w:p>
        </w:tc>
        <w:tc>
          <w:tcPr>
            <w:tcW w:w="11907" w:type="dxa"/>
            <w:shd w:val="clear" w:color="auto" w:fill="0070C0"/>
          </w:tcPr>
          <w:p w:rsidR="00A17B6A" w:rsidRDefault="00A17B6A">
            <w:pPr>
              <w:spacing w:after="0" w:line="240" w:lineRule="auto"/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A17B6A" w:rsidRDefault="00A17B6A">
      <w:pPr>
        <w:jc w:val="both"/>
        <w:rPr>
          <w:rFonts w:ascii="Consolas" w:hAnsi="Consolas" w:cs="Consolas"/>
          <w:szCs w:val="24"/>
          <w:lang w:val="en-US"/>
        </w:rPr>
      </w:pPr>
    </w:p>
    <w:p w:rsidR="00A17B6A" w:rsidRDefault="00DF04FF">
      <w:pPr>
        <w:jc w:val="center"/>
        <w:rPr>
          <w:rFonts w:ascii="Consolas" w:hAnsi="Consolas" w:cs="Consolas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0720" cy="2486025"/>
            <wp:effectExtent l="0" t="0" r="0" b="0"/>
            <wp:docPr id="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86025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A17B6A" w:rsidRDefault="00A17B6A">
      <w:pPr>
        <w:jc w:val="center"/>
        <w:rPr>
          <w:rFonts w:ascii="Consolas" w:hAnsi="Consolas" w:cs="Consolas"/>
          <w:szCs w:val="24"/>
          <w:lang w:val="en-US"/>
        </w:rPr>
      </w:pPr>
    </w:p>
    <w:p w:rsidR="00A17B6A" w:rsidRDefault="00DF04FF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Send a movement request from the request processor to the motor controller.</w:t>
      </w:r>
    </w:p>
    <w:p w:rsidR="00A17B6A" w:rsidRDefault="00DF04FF" w:rsidP="00DF04FF">
      <w:pPr>
        <w:jc w:val="center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noProof/>
          <w:szCs w:val="24"/>
          <w:lang w:val="en-US"/>
        </w:rPr>
        <w:lastRenderedPageBreak/>
        <w:drawing>
          <wp:inline distT="0" distB="0" distL="0" distR="0">
            <wp:extent cx="5228509" cy="1486368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levatorControllerModelInteraction-mov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320" cy="14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B6A" w:rsidRDefault="00A17B6A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</w:p>
    <w:p w:rsidR="00A17B6A" w:rsidRPr="00BE40DB" w:rsidRDefault="00DF04FF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color w:val="7030A0"/>
          <w:szCs w:val="24"/>
          <w:lang w:val="en-US"/>
        </w:rPr>
        <w:t>This can be can be realized with the kind of activity pre</w:t>
      </w:r>
      <w:bookmarkStart w:id="0" w:name="_GoBack"/>
      <w:bookmarkEnd w:id="0"/>
      <w:r>
        <w:rPr>
          <w:rFonts w:ascii="Consolas" w:hAnsi="Consolas" w:cs="Consolas"/>
          <w:color w:val="7030A0"/>
          <w:szCs w:val="24"/>
          <w:lang w:val="en-US"/>
        </w:rPr>
        <w:t xml:space="preserve">sented above. An object “Movement Request” </w:t>
      </w:r>
      <w:proofErr w:type="gramStart"/>
      <w:r>
        <w:rPr>
          <w:rFonts w:ascii="Consolas" w:hAnsi="Consolas" w:cs="Consolas"/>
          <w:color w:val="7030A0"/>
          <w:szCs w:val="24"/>
          <w:lang w:val="en-US"/>
        </w:rPr>
        <w:t>is created</w:t>
      </w:r>
      <w:proofErr w:type="gramEnd"/>
      <w:r>
        <w:rPr>
          <w:rFonts w:ascii="Consolas" w:hAnsi="Consolas" w:cs="Consolas"/>
          <w:color w:val="7030A0"/>
          <w:szCs w:val="24"/>
          <w:lang w:val="en-US"/>
        </w:rPr>
        <w:t xml:space="preserve"> and its attributes are </w:t>
      </w:r>
      <w:r>
        <w:rPr>
          <w:rFonts w:ascii="Consolas" w:hAnsi="Consolas" w:cs="Consolas"/>
          <w:color w:val="7030A0"/>
          <w:szCs w:val="24"/>
          <w:lang w:val="en-US"/>
        </w:rPr>
        <w:t xml:space="preserve">assigned. Note that this part is incomplete on the diagram: the values of write actions </w:t>
      </w:r>
      <w:proofErr w:type="gramStart"/>
      <w:r>
        <w:rPr>
          <w:rFonts w:ascii="Consolas" w:hAnsi="Consolas" w:cs="Consolas"/>
          <w:color w:val="7030A0"/>
          <w:szCs w:val="24"/>
          <w:lang w:val="en-US"/>
        </w:rPr>
        <w:t>must be specified</w:t>
      </w:r>
      <w:proofErr w:type="gramEnd"/>
      <w:r>
        <w:rPr>
          <w:rFonts w:ascii="Consolas" w:hAnsi="Consolas" w:cs="Consolas"/>
          <w:color w:val="7030A0"/>
          <w:szCs w:val="24"/>
          <w:lang w:val="en-US"/>
        </w:rPr>
        <w:t>.</w:t>
      </w:r>
    </w:p>
    <w:p w:rsidR="00A17B6A" w:rsidRDefault="00A17B6A">
      <w:pPr>
        <w:pStyle w:val="Paragraphedeliste"/>
        <w:jc w:val="both"/>
        <w:rPr>
          <w:rFonts w:ascii="Consolas" w:hAnsi="Consolas" w:cs="Consolas"/>
          <w:szCs w:val="24"/>
          <w:lang w:val="en-US"/>
        </w:rPr>
      </w:pPr>
    </w:p>
    <w:p w:rsidR="00A17B6A" w:rsidRDefault="00DF04FF">
      <w:pPr>
        <w:pStyle w:val="Paragraphedeliste"/>
        <w:numPr>
          <w:ilvl w:val="0"/>
          <w:numId w:val="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color w:val="7030A0"/>
          <w:szCs w:val="24"/>
          <w:lang w:val="en-US"/>
        </w:rPr>
        <w:t>The operation “move” is called through the call operation action “</w:t>
      </w:r>
      <w:proofErr w:type="gramStart"/>
      <w:r>
        <w:rPr>
          <w:rFonts w:ascii="Consolas" w:hAnsi="Consolas" w:cs="Consolas"/>
          <w:color w:val="7030A0"/>
          <w:szCs w:val="24"/>
          <w:lang w:val="en-US"/>
        </w:rPr>
        <w:t>call(</w:t>
      </w:r>
      <w:proofErr w:type="gramEnd"/>
      <w:r>
        <w:rPr>
          <w:rFonts w:ascii="Consolas" w:hAnsi="Consolas" w:cs="Consolas"/>
          <w:color w:val="7030A0"/>
          <w:szCs w:val="24"/>
          <w:lang w:val="en-US"/>
        </w:rPr>
        <w:t xml:space="preserve">move)”. </w:t>
      </w:r>
      <w:r w:rsidR="000422DB">
        <w:rPr>
          <w:rFonts w:ascii="Consolas" w:hAnsi="Consolas" w:cs="Consolas"/>
          <w:color w:val="7030A0"/>
          <w:szCs w:val="24"/>
          <w:lang w:val="en-US"/>
        </w:rPr>
        <w:t xml:space="preserve">Please note that this operation </w:t>
      </w:r>
      <w:proofErr w:type="gramStart"/>
      <w:r w:rsidR="000422DB">
        <w:rPr>
          <w:rFonts w:ascii="Consolas" w:hAnsi="Consolas" w:cs="Consolas"/>
          <w:color w:val="7030A0"/>
          <w:szCs w:val="24"/>
          <w:lang w:val="en-US"/>
        </w:rPr>
        <w:t>is owned</w:t>
      </w:r>
      <w:proofErr w:type="gramEnd"/>
      <w:r w:rsidR="000422DB">
        <w:rPr>
          <w:rFonts w:ascii="Consolas" w:hAnsi="Consolas" w:cs="Consolas"/>
          <w:color w:val="7030A0"/>
          <w:szCs w:val="24"/>
          <w:lang w:val="en-US"/>
        </w:rPr>
        <w:t xml:space="preserve"> by the interface “</w:t>
      </w:r>
      <w:proofErr w:type="spellStart"/>
      <w:r w:rsidR="000422DB">
        <w:rPr>
          <w:rFonts w:ascii="Consolas" w:hAnsi="Consolas" w:cs="Consolas"/>
          <w:color w:val="7030A0"/>
          <w:szCs w:val="24"/>
          <w:lang w:val="en-US"/>
        </w:rPr>
        <w:t>IMotorRequest</w:t>
      </w:r>
      <w:proofErr w:type="spellEnd"/>
      <w:r w:rsidR="000422DB">
        <w:rPr>
          <w:rFonts w:ascii="Consolas" w:hAnsi="Consolas" w:cs="Consolas"/>
          <w:color w:val="7030A0"/>
          <w:szCs w:val="24"/>
          <w:lang w:val="en-US"/>
        </w:rPr>
        <w:t>” and not by implementation “</w:t>
      </w:r>
      <w:proofErr w:type="spellStart"/>
      <w:r w:rsidR="000422DB">
        <w:rPr>
          <w:rFonts w:ascii="Consolas" w:hAnsi="Consolas" w:cs="Consolas"/>
          <w:color w:val="7030A0"/>
          <w:szCs w:val="24"/>
          <w:lang w:val="en-US"/>
        </w:rPr>
        <w:t>MotorControl</w:t>
      </w:r>
      <w:proofErr w:type="spellEnd"/>
      <w:r w:rsidR="000422DB">
        <w:rPr>
          <w:rFonts w:ascii="Consolas" w:hAnsi="Consolas" w:cs="Consolas"/>
          <w:color w:val="7030A0"/>
          <w:szCs w:val="24"/>
          <w:lang w:val="en-US"/>
        </w:rPr>
        <w:t xml:space="preserve">”, since the component-based modeling assures a loose coupling of components. </w:t>
      </w:r>
      <w:r>
        <w:rPr>
          <w:rFonts w:ascii="Consolas" w:hAnsi="Consolas" w:cs="Consolas"/>
          <w:color w:val="7030A0"/>
          <w:szCs w:val="24"/>
          <w:lang w:val="en-US"/>
        </w:rPr>
        <w:t>The “</w:t>
      </w:r>
      <w:proofErr w:type="spellStart"/>
      <w:r>
        <w:rPr>
          <w:rFonts w:ascii="Consolas" w:hAnsi="Consolas" w:cs="Consolas"/>
          <w:color w:val="7030A0"/>
          <w:szCs w:val="24"/>
          <w:lang w:val="en-US"/>
        </w:rPr>
        <w:t>MovementRequest</w:t>
      </w:r>
      <w:proofErr w:type="spellEnd"/>
      <w:r>
        <w:rPr>
          <w:rFonts w:ascii="Consolas" w:hAnsi="Consolas" w:cs="Consolas"/>
          <w:color w:val="7030A0"/>
          <w:szCs w:val="24"/>
          <w:lang w:val="en-US"/>
        </w:rPr>
        <w:t xml:space="preserve">” </w:t>
      </w:r>
      <w:proofErr w:type="gramStart"/>
      <w:r>
        <w:rPr>
          <w:rFonts w:ascii="Consolas" w:hAnsi="Consolas" w:cs="Consolas"/>
          <w:color w:val="7030A0"/>
          <w:szCs w:val="24"/>
          <w:lang w:val="en-US"/>
        </w:rPr>
        <w:t>is given</w:t>
      </w:r>
      <w:proofErr w:type="gramEnd"/>
      <w:r>
        <w:rPr>
          <w:rFonts w:ascii="Consolas" w:hAnsi="Consolas" w:cs="Consolas"/>
          <w:color w:val="7030A0"/>
          <w:szCs w:val="24"/>
          <w:lang w:val="en-US"/>
        </w:rPr>
        <w:t xml:space="preserve"> as a parameter of the operation call. </w:t>
      </w:r>
      <w:r w:rsidR="00BE40DB">
        <w:rPr>
          <w:rFonts w:ascii="Consolas" w:hAnsi="Consolas" w:cs="Consolas"/>
          <w:color w:val="7030A0"/>
          <w:szCs w:val="24"/>
          <w:lang w:val="en-US"/>
        </w:rPr>
        <w:t xml:space="preserve">The call </w:t>
      </w:r>
      <w:proofErr w:type="gramStart"/>
      <w:r w:rsidR="00BE40DB">
        <w:rPr>
          <w:rFonts w:ascii="Consolas" w:hAnsi="Consolas" w:cs="Consolas"/>
          <w:color w:val="7030A0"/>
          <w:szCs w:val="24"/>
          <w:lang w:val="en-US"/>
        </w:rPr>
        <w:t>is emitted</w:t>
      </w:r>
      <w:proofErr w:type="gramEnd"/>
      <w:r w:rsidR="00BE40DB">
        <w:rPr>
          <w:rFonts w:ascii="Consolas" w:hAnsi="Consolas" w:cs="Consolas"/>
          <w:color w:val="7030A0"/>
          <w:szCs w:val="24"/>
          <w:lang w:val="en-US"/>
        </w:rPr>
        <w:t xml:space="preserve"> through the port “</w:t>
      </w:r>
      <w:proofErr w:type="spellStart"/>
      <w:r w:rsidR="00BE40DB">
        <w:rPr>
          <w:rFonts w:ascii="Consolas" w:hAnsi="Consolas" w:cs="Consolas"/>
          <w:color w:val="7030A0"/>
          <w:szCs w:val="24"/>
          <w:lang w:val="en-US"/>
        </w:rPr>
        <w:t>motorNotificationPort</w:t>
      </w:r>
      <w:proofErr w:type="spellEnd"/>
      <w:r>
        <w:rPr>
          <w:rFonts w:ascii="Consolas" w:hAnsi="Consolas" w:cs="Consolas"/>
          <w:color w:val="7030A0"/>
          <w:szCs w:val="24"/>
          <w:lang w:val="en-US"/>
        </w:rPr>
        <w:t xml:space="preserve">”. The specification of the transmission port </w:t>
      </w:r>
      <w:proofErr w:type="gramStart"/>
      <w:r>
        <w:rPr>
          <w:rFonts w:ascii="Consolas" w:hAnsi="Consolas" w:cs="Consolas"/>
          <w:color w:val="7030A0"/>
          <w:szCs w:val="24"/>
          <w:lang w:val="en-US"/>
        </w:rPr>
        <w:t>can be realized</w:t>
      </w:r>
      <w:proofErr w:type="gramEnd"/>
      <w:r>
        <w:rPr>
          <w:rFonts w:ascii="Consolas" w:hAnsi="Consolas" w:cs="Consolas"/>
          <w:color w:val="7030A0"/>
          <w:szCs w:val="24"/>
          <w:lang w:val="en-US"/>
        </w:rPr>
        <w:t xml:space="preserve"> through the property view via the meta-attribute “</w:t>
      </w:r>
      <w:proofErr w:type="spellStart"/>
      <w:r>
        <w:rPr>
          <w:rFonts w:ascii="Consolas" w:hAnsi="Consolas" w:cs="Consolas"/>
          <w:color w:val="7030A0"/>
          <w:szCs w:val="24"/>
          <w:lang w:val="en-US"/>
        </w:rPr>
        <w:t>onPort</w:t>
      </w:r>
      <w:proofErr w:type="spellEnd"/>
      <w:r>
        <w:rPr>
          <w:rFonts w:ascii="Consolas" w:hAnsi="Consolas" w:cs="Consolas"/>
          <w:color w:val="7030A0"/>
          <w:szCs w:val="24"/>
          <w:lang w:val="en-US"/>
        </w:rPr>
        <w:t xml:space="preserve">”. </w:t>
      </w:r>
    </w:p>
    <w:p w:rsidR="00A17B6A" w:rsidRDefault="00BE40DB">
      <w:pPr>
        <w:jc w:val="both"/>
        <w:rPr>
          <w:rFonts w:ascii="Consolas" w:hAnsi="Consolas" w:cs="Consolas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B0ADDA3" wp14:editId="49F9F2E5">
            <wp:extent cx="5760720" cy="1370965"/>
            <wp:effectExtent l="0" t="0" r="0" b="63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B6A">
      <w:headerReference w:type="default" r:id="rId17"/>
      <w:pgSz w:w="11906" w:h="16838"/>
      <w:pgMar w:top="1417" w:right="1417" w:bottom="1417" w:left="1417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F04FF">
      <w:pPr>
        <w:spacing w:after="0" w:line="240" w:lineRule="auto"/>
      </w:pPr>
      <w:r>
        <w:separator/>
      </w:r>
    </w:p>
  </w:endnote>
  <w:endnote w:type="continuationSeparator" w:id="0">
    <w:p w:rsidR="00000000" w:rsidRDefault="00DF0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F04FF">
      <w:pPr>
        <w:spacing w:after="0" w:line="240" w:lineRule="auto"/>
      </w:pPr>
      <w:r>
        <w:separator/>
      </w:r>
    </w:p>
  </w:footnote>
  <w:footnote w:type="continuationSeparator" w:id="0">
    <w:p w:rsidR="00000000" w:rsidRDefault="00DF0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B6A" w:rsidRDefault="00DF04FF">
    <w:pPr>
      <w:pStyle w:val="En-tte"/>
    </w:pPr>
    <w:r>
      <w:rPr>
        <w:noProof/>
        <w:lang w:val="en-US"/>
      </w:rPr>
      <w:drawing>
        <wp:inline distT="0" distB="0" distL="0" distR="0">
          <wp:extent cx="690245" cy="308610"/>
          <wp:effectExtent l="0" t="0" r="0" b="0"/>
          <wp:docPr id="10" name="Image 18" descr="http://mtv2.univ-fcomte.fr/images/CEA_LIST_logo_co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8" descr="http://mtv2.univ-fcomte.fr/images/CEA_LIST_logo_cote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90245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</w:t>
    </w:r>
    <w:r>
      <w:rPr>
        <w:noProof/>
        <w:lang w:val="en-US"/>
      </w:rPr>
      <mc:AlternateContent>
        <mc:Choice Requires="wps">
          <w:drawing>
            <wp:inline distT="0" distB="0" distL="0" distR="0" wp14:anchorId="46C410FD">
              <wp:extent cx="504190" cy="309880"/>
              <wp:effectExtent l="0" t="0" r="0" b="0"/>
              <wp:docPr id="11" name="Picture 10" descr="C:\Users\sg166342\Pictures\Papyrus\logo\PapyrusLogo.p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4360" cy="30996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rotWithShape="0">
                        <a:blip r:embed="rId2"/>
                        <a:stretch>
                          <a:fillRect/>
                        </a:stretch>
                      </a:blip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ID="Picture 10" o:allowincell="f" style="position:absolute;margin-left:0pt;margin-top:-24.45pt;width:39.65pt;height:24.35pt;mso-position-vertical:top" wp14:anchorId="46C410FD" type="_x0000_t75">
              <v:imagedata r:id="rId3"/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83478"/>
    <w:multiLevelType w:val="multilevel"/>
    <w:tmpl w:val="5B1A53B4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18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72F5608B"/>
    <w:multiLevelType w:val="multilevel"/>
    <w:tmpl w:val="FE62B7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B6A"/>
    <w:rsid w:val="000422DB"/>
    <w:rsid w:val="00A17B6A"/>
    <w:rsid w:val="00BE40DB"/>
    <w:rsid w:val="00DF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82571"/>
  <w15:docId w15:val="{8DAEE81A-AF90-474C-AD99-73A75918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02743"/>
    <w:rPr>
      <w:color w:val="0563C1" w:themeColor="hyperlink"/>
      <w:u w:val="single"/>
    </w:rPr>
  </w:style>
  <w:style w:type="character" w:customStyle="1" w:styleId="En-tteCar">
    <w:name w:val="En-tête Car"/>
    <w:basedOn w:val="Policepardfaut"/>
    <w:link w:val="En-tte"/>
    <w:uiPriority w:val="99"/>
    <w:qFormat/>
    <w:rsid w:val="006B175A"/>
  </w:style>
  <w:style w:type="character" w:customStyle="1" w:styleId="PieddepageCar">
    <w:name w:val="Pied de page Car"/>
    <w:basedOn w:val="Policepardfaut"/>
    <w:link w:val="Pieddepage"/>
    <w:uiPriority w:val="99"/>
    <w:qFormat/>
    <w:rsid w:val="006B175A"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Tahoma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Paragraphedeliste">
    <w:name w:val="List Paragraph"/>
    <w:basedOn w:val="Normal"/>
    <w:uiPriority w:val="34"/>
    <w:qFormat/>
    <w:rsid w:val="008D668E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6B175A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6B175A"/>
    <w:pPr>
      <w:tabs>
        <w:tab w:val="center" w:pos="4536"/>
        <w:tab w:val="right" w:pos="9072"/>
      </w:tabs>
      <w:spacing w:after="0" w:line="240" w:lineRule="auto"/>
    </w:pPr>
  </w:style>
  <w:style w:type="table" w:styleId="Grilledutableau">
    <w:name w:val="Table Grid"/>
    <w:basedOn w:val="TableauNormal"/>
    <w:uiPriority w:val="39"/>
    <w:rsid w:val="00CA1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CD168-941D-46B8-83EA-A56D2C5CA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4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Commissariat à l'Energie Atomique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TATIBOUET JÉRÉMIE</dc:creator>
  <dc:description/>
  <cp:lastModifiedBy>RADERMACHER Ansgar</cp:lastModifiedBy>
  <cp:revision>236</cp:revision>
  <cp:lastPrinted>2015-11-09T11:20:00Z</cp:lastPrinted>
  <dcterms:created xsi:type="dcterms:W3CDTF">2015-10-11T14:49:00Z</dcterms:created>
  <dcterms:modified xsi:type="dcterms:W3CDTF">2023-02-14T12:56:00Z</dcterms:modified>
  <dc:language>en-US</dc:language>
</cp:coreProperties>
</file>