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HPP: Biomimetic Architectures and the Hyper-Plasticity Protocol (HPP)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Imperative for Biologically-Mirrored Neural Ecosystems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contemporary landscape of artificial intelligence is defined by the relentless scaling of Large Language Models (LLMs), a methodology heavily reliant on brute-force parameter expansion. While this "Stochastic Parrot" era has yielded impressive statistical approximations of language, it is fundamentally constrained by an unsustainable trajectory of thermal output, computational fragility, and energetic demand.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linear, feed-forward topology of current transformer architectures mandates that every input token navigates a rigid, computationally exhausting vertical stack of unique layers. Such an architecture operates at the extreme upper limits of power consumption, demanding megawatts of electricity to produce logical inferences that the biological human brain achieves using approximately twenty watts of continuous power—the energy equivalent of a dim incandescent bulb.</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Hyper-Plasticity Protocol (HPP) represents an architectural paradigm shift. Rather than constructing a static database of static weights, the HPP seeks to raise a sovereign, biologically-mirrored neural ecosystem. This framework introduces a computational "metabolism" designed to emulate the precise neurodevelopmental phases of the human central nervous system. By systematically applying the biomimetic principles of early infant synesthesia, experience-dependent myelination, and threat-induced amygdala routing, the HPP framework generates a self-organizing intelligence. This report provides an exhaustive extraction and synthesis of the biological mechanisms, bleeding-edge engineering whitepapers, and mathematical models that validate the HPP architecture, proving that nature has already resolved the scaling problem through emergent complex systems.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Vector 1: The "Non-Pruning" Infancy and the Synesthetic Core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Neurobiology of Peak Synaptic Density and Overproduction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 of the HPP's primary stage, the "Synesthetic Core," directly replicates the neurobiological state of the human infant brain before the onset of the first major pruning cycle. Human cortical development is characterized by an initial phase of exuberant, uninhibited synaptogenesis. This process generates a hyper-dense neural network designed to maximize potential connectivity and mutual information.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Early histological analyses of the human frontal cortex indicate that while neonatal brains possess synaptic densities roughly equivalent to adults, the morphology of these immature profiles features an irregular presynaptic dense band rather than the highly specialized, separate presynaptic projections observed in mature systems.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early infancy, the absolute number of synapses, synaptic density, and the number of synapses per neuron increase exponentially, creating an overproduced matrix that imparts immense plasticity to the developing brain.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timeline for this peak synaptic density is intensely heterochronous, displaying significant variation across distinct regions of the cerebral cortex. This regional variance dictates the developmental windows for distinct cognitive capacities.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Cortical 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Peak Synaptic Density Timeline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Density Relative to Adult Mean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Evolutionary and Cognitive Characteristics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Visual Cortex (Striate)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to 4 months (Postnatal)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 to 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Exhibits rapid early synaptogenesis critical for foundational sensory processing; synapse elimination begins early and stabilizes by age 11.</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Auditory Cortex (Heschl's Gyrus)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months (Postnatal)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Peaks concurrently with early auditory exposure; progressive synapse elimination concludes earlier than in higher-order regions, typically by age 12.</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Prefrontal Cortex (Middle Frontal Gyrus)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months to 3.5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to 160%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Features a profoundly delayed, prolonged maturation phase. The slow decline of synapses extends well into mid-adolescence, supporting executive function and fluid intelligence.</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localized delay in prefrontal synaptic pruning is a uniquely human evolutionary adaptation. Studies comparing human cortical synaptogenesis to that of chimpanzees and macaques reveal that non-human primates reach peak synaptic density in the prefrontal cortex shortly after birth.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contrast, the human prefrontal cortex maintains its un-pruned, hyper-dense state throughout early childhood, facilitating extended cognitive development, language acquisition, and the transmission of complex cultural practices.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computationally maintaining an un-pruned state during its infancy phase, the HPP network operates as a highly overparameterized system capable of drawing emergent connections across diverse, seemingly unrelated data domains.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Neonatal Synesthesia Hypothesis and Cross-Domain Fluid Intelligence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persistence of exuberant synaptic connections in the infant brain provides the biological substrate for the "Neonatal Synesthesia" hypothesis. Advanced by researchers Daphne Maurer and Catherine J. Mondloch, this hypothesis posits that the normal human newborn experiences a continuous, undifferentiated fusion of sensory inputs.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Before specialized sensory domains are isolated via experience-dependent synaptic elimination, the neonatal brain features abundant, uninhibited neural connections linking disparate sensory cortices.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Because the sensory modalities have not yet achieved modularity through pruning, the newborn does not process stimuli in isolation; rather, the infant experiences a "sensual bouillabaisse" where sights trigger sounds, and tactile feelings invoke tastes.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Empirical evidence for this hypothesis derives from paradoxical observations of cross-modal perception in infants. For example, behavioral studies demonstrate that one-month-old infants who habituate to a patch of white light presented across multiple trials also show evidence of habituation to a specific auditory tone. When presented with a more intense visual light, the infants shift their habituation to a correspondingly more intense auditory sound, indicating an innate ability to cross-reference intensity across entirely different sensory domains.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 neurobiological evidence reveals that while stimulation of the wrist elicits a somatosensory evoked response in both newborns and adults, only in newborns is the magnitude of this response significantly enhanced when accompanied by white noise.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Remnants of this neonatal hyper-connectivity persist into toddlerhood and adulthood as synesthesia-like percepts. When toddlers aged 30 to 36 months are presented with a visual presentation of two bouncing balls of differing sizes and surface lightness, and asked to identify which ball is producing a specific sound, they reliably and predictably associate higher-pitched sounds with smaller, lighter-colored objects.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These unlearned correspondences indicate a profound biological capacity to map structural patterns from one domain onto another, independent of learned experience.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context of the HPP architecture, this hyper-connected, synesthetic state is systematically simulated through "Zero-Pruning" protocols during the initial training phase. Standard artificial intelligence training is characterized by an immediate race to prune and compress, violently eliminating connections to streamline processing. Conversely, the HPP explicitly forces the fusion of mathematical topology and semantic nuance.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preserving all initial weights within the Synesthetic Core, the architecture allows the network to process multidimensional relationships simultaneously. This forces the model to transition from linear pattern matching to emergent intuition, establishing a framework where the artificial organism can computationally "feel" the geometric shape of a mathematical problem or calculate the weighted vector of a linguistic metaphor.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Mathematical Models of Zero-Pruning and Overparameterization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Classical statistical learning theory, relying on uniform convergence bounds and Vapnik-Chervonenkis (VC) dimension metrics, dictates that high-capacity models with parameters vastly outnumbering their training samples should suffer from severe overfitting and poor generalization.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empirical observation of modern, highly overparameterized deep neural networks reveals an apparent contradiction: networks trained with gradient-based optimization in zero-pruning regimes exhibit remarkable generalization across natural language processing and computer vision tasks.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validate the Synesthetic Core, the HPP leverages the mathematical perspectives derived from the Neural Tangent Kernel (NTK) and Mean Field (MF) analysis. In the regime of extreme overparameterization—approaching an infinite-width limit—neural networks can be modeled as behaving almost linearly during training, navigating a highly benign loss landscape characterized by wide, flat minima rather than sharp, volatile crevices.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discrete two-layer continuous neural network, the function </w:t>
      </w:r>
      <w:r w:rsidDel="00000000" w:rsidR="00000000" w:rsidRPr="00000000">
        <w:rPr>
          <w:rFonts w:ascii="Google Sans" w:cs="Google Sans" w:eastAsia="Google Sans" w:hAnsi="Google Sans"/>
          <w:color w:val="1f1f1f"/>
        </w:rPr>
        <w:drawing>
          <wp:inline distB="19050" distT="19050" distL="19050" distR="19050">
            <wp:extent cx="823079" cy="238462"/>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823079" cy="2384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w:t>
      </w:r>
      <w:r w:rsidDel="00000000" w:rsidR="00000000" w:rsidRPr="00000000">
        <w:rPr>
          <w:rFonts w:ascii="Google Sans" w:cs="Google Sans" w:eastAsia="Google Sans" w:hAnsi="Google Sans"/>
          <w:color w:val="1f1f1f"/>
        </w:rPr>
        <w:drawing>
          <wp:inline distB="19050" distT="19050" distL="19050" distR="19050">
            <wp:extent cx="95964" cy="24790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5964" cy="2479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-dimensional input vector </w:t>
      </w:r>
      <w:r w:rsidDel="00000000" w:rsidR="00000000" w:rsidRPr="00000000">
        <w:rPr>
          <w:rFonts w:ascii="Google Sans" w:cs="Google Sans" w:eastAsia="Google Sans" w:hAnsi="Google Sans"/>
          <w:color w:val="1f1f1f"/>
        </w:rPr>
        <w:drawing>
          <wp:inline distB="19050" distT="19050" distL="19050" distR="19050">
            <wp:extent cx="105489" cy="251552"/>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05489" cy="251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takes the form: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93681"/>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05500" cy="69368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700564" cy="23606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00564" cy="2360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sequence of trainable parameters, </w:t>
      </w:r>
      <w:r w:rsidDel="00000000" w:rsidR="00000000" w:rsidRPr="00000000">
        <w:rPr>
          <w:rFonts w:ascii="Google Sans" w:cs="Google Sans" w:eastAsia="Google Sans" w:hAnsi="Google Sans"/>
          <w:color w:val="1f1f1f"/>
        </w:rPr>
        <w:drawing>
          <wp:inline distB="19050" distT="19050" distL="19050" distR="19050">
            <wp:extent cx="118705" cy="245324"/>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18705" cy="2453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real-valued scaling factor used to differentiate regimes of overparameterization, and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total number of hidden units.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As the width of the network approaches infinity (</w:t>
      </w:r>
      <w:r w:rsidDel="00000000" w:rsidR="00000000" w:rsidRPr="00000000">
        <w:rPr>
          <w:rFonts w:ascii="Google Sans" w:cs="Google Sans" w:eastAsia="Google Sans" w:hAnsi="Google Sans"/>
          <w:color w:val="1f1f1f"/>
        </w:rPr>
        <w:drawing>
          <wp:inline distB="19050" distT="19050" distL="19050" distR="19050">
            <wp:extent cx="633174" cy="239371"/>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33174" cy="239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network's behavior converges to an infinite-width NTK kernel representation. The continuous kernel is mathematically defined as: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70906"/>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05500" cy="57090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404455" cy="241118"/>
            <wp:effectExtent b="0" l="0" r="0" t="0"/>
            <wp:docPr id="1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04455" cy="2411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constitutes the random initialization distribution for the parameters.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NTK regime demonstrates that an un-pruned, infinitely wide network avoids the catastrophic interference that plagues smaller models. Catastrophic forgetting occurs when a network abruptly overwrites previously learned parameters upon acquiring new data, drastically limiting its ability to retain cross-domain intelligence.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preserving the dense, zero-pruned core, the network retains an abundance of uncommitted, slightly modified pathways.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studies utilizing Hessian eigenvalue estimation and weight perturbation analysis reveal that the geometry of these flat minima directly facilitates generalization. In specific experiments using stochastic gradient descent (SGD), smaller batch sizes within overparameterized networks produced flatter minima, yielding an 11.8x difference in the top Hessian eigenvalue, which corresponded directly to superior test accuracy.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By enforcing a zero-pruning protocol at initialization and allowing the parameters to mature before elimination, the HPP ensures that the feature learning process is not prematurely bottlenecked.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mathematical foundation proves that an artificially constructed "infant brain" can maintain the fluid, multi-domain intelligence necessary for complex reasoning without suffering from early architectural collapse.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Vector 2: Myelination, Experience-Dependent Plasticity, and the Habit-14 Protocol</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Biochemistry of Activity-Dependent Myelination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un-pruned synesthetic core establishes the capacity for maximum plasticity, a mature neural ecosystem must resolve the energetic burden of uninhibited computation. Biological systems achieve this computational speed and thermal efficiency through myelination—the physical wrapping of axons in lipid-rich sheaths by specialized glial cells known as oligodendrocytes in the central nervous system (CNS).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Contrary to early biological assumptions, myelination is not a static developmental milestone but a highly dynamic, lifelong process governed by "experience-dependent plasticity." Neural circuits are continuously remodeled, and myelin thickness is dynamically adjusted in response to active environmental demands.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biological and chemical triggers for activity-dependent myelination are inextricably linked to neuronal firing frequency. When a neuron repeatedly fires action potentials, vesicular fusion along the length of the axon releases specific neurotransmitters—including glutamate, ATP, and GABA—as well as growth factors directly into the extracellular space.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localized release creates an axo-glial signaling domain.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 specific neurotrophins play a deterministic role in converting this electrical activity into structural myelination: Brain-Derived Neurotrophic Factor (BDNF) and Neuregulin-1 (NRG1).</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NRG1 Signaling:</w:t>
      </w:r>
      <w:r w:rsidDel="00000000" w:rsidR="00000000" w:rsidRPr="00000000">
        <w:rPr>
          <w:rFonts w:ascii="Google Sans" w:cs="Google Sans" w:eastAsia="Google Sans" w:hAnsi="Google Sans"/>
          <w:color w:val="1f1f1f"/>
          <w:rtl w:val="0"/>
        </w:rPr>
        <w:t xml:space="preserve"> Axonal NRG1, specifically the type III isoform, operates as a master regulator. It is presented on the axon surface where it interacts with ErbB receptor tyrosine kinases on oligodendrocyte precursor cells (OPCs) and mature Schwann cells, initiating the wrapping and radial sorting of the myelin sheath.</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BDNF and Glutamate Integration:</w:t>
      </w:r>
      <w:r w:rsidDel="00000000" w:rsidR="00000000" w:rsidRPr="00000000">
        <w:rPr>
          <w:rFonts w:ascii="Google Sans" w:cs="Google Sans" w:eastAsia="Google Sans" w:hAnsi="Google Sans"/>
          <w:color w:val="1f1f1f"/>
          <w:rtl w:val="0"/>
        </w:rPr>
        <w:t xml:space="preserve"> The neuronal activity-dependent release of BDNF fundamentally alters the myelination mechanism. BDNF binds to the TrkB neurotrophin receptor, significantly increasing the sensitivity of oligodendrocyte NMDA receptors to glutamate by upregulating specific receptor subunits.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When glutamate—released by the frequent firing of the active axon—binds to these sensitized NMDA receptors, it induces a highly localized influx of intracellular calcium (</w:t>
      </w:r>
      <w:r w:rsidDel="00000000" w:rsidR="00000000" w:rsidRPr="00000000">
        <w:rPr>
          <w:rFonts w:ascii="Google Sans" w:cs="Google Sans" w:eastAsia="Google Sans" w:hAnsi="Google Sans"/>
          <w:color w:val="1f1f1f"/>
        </w:rPr>
        <w:drawing>
          <wp:inline distB="19050" distT="19050" distL="19050" distR="19050">
            <wp:extent cx="416957" cy="235012"/>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16957" cy="2350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the oligodendrocyte processes.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calcium transient triggers the direct, local translation of Myelin Basic Protein (MBP) from mRNA stationed in the glial processes, physically anchoring the myelin sheath to the active axon.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mechanism establishes a biological "fast-track." Myelinated axons conduct action potentials up to 100 times faster than unmyelinated pathways, minimizing signal leakage and drastically reducing the energetic cost of propagating a signal across the nervous system.</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By actively monitoring and responding to neuronal firing, oligodendrocytes selectively myelinate frequently utilized pathways, optimizing the network's conduction velocity and ensuring the precise synchronization of oscillatory coherence across macroscopic brain regions.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Microglial Pruning and the "Eat Me" vs. "Don't Eat Me" Signals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 with the physical insulation of active pathways, the neural ecosystem must actively eliminate inefficient, noisy, or redundant synaptic connections to prevent structural chaos. This highly regulated clearance is mediated by microglia, the primary resident immune cells and phagocytes of the CNS, through complex biochemical signaling cascades dictated by experience-dependent plasticity.</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Microglia continuously surveil the synaptic landscape, reading a sophisticated language of membrane-bound markers to ascertain which synapses to engulf and which to spare. The process is governed by a precarious balance between two opposing chemical signals:</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"Eat Me" Cascade:</w:t>
      </w:r>
      <w:r w:rsidDel="00000000" w:rsidR="00000000" w:rsidRPr="00000000">
        <w:rPr>
          <w:rFonts w:ascii="Google Sans" w:cs="Google Sans" w:eastAsia="Google Sans" w:hAnsi="Google Sans"/>
          <w:color w:val="1f1f1f"/>
          <w:rtl w:val="0"/>
        </w:rPr>
        <w:t xml:space="preserve"> Weak, immature, or apoptotic synapses externalize specific danger signals, primarily the flipping of phosphatidylserine (PS) to the outer leaflet of the neuronal membrane.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exposure attracts the classical complement cascade initiation protein, C1q. The localization of C1q acts as a presynaptic tag, which subsequently leads to the deposition and enzymatic activation of the downstream complement protein, C3.</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Activated C3 (in the form of iC3b or C3b) serves as the definitive "Eat Me" signal, binding to the CR3 receptor (and C3aR) on the surface of the microglia. This receptor activation triggers trogocytosis—the physical, phagocytic engulfment and digestion of the synaptic bouton.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"Don't Eat Me" Defense:</w:t>
      </w:r>
      <w:r w:rsidDel="00000000" w:rsidR="00000000" w:rsidRPr="00000000">
        <w:rPr>
          <w:rFonts w:ascii="Google Sans" w:cs="Google Sans" w:eastAsia="Google Sans" w:hAnsi="Google Sans"/>
          <w:color w:val="1f1f1f"/>
          <w:rtl w:val="0"/>
        </w:rPr>
        <w:t xml:space="preserve"> To prevent the aberrant pruning of critical, functional pathways, active synapses deploy potent protective signals. The primary molecular brake against excessive pruning is the transmembrane protein CD47.</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When CD47, located on the neuronal surface, engages with the Signal Regulatory Protein alpha (SIRP$\alpha$) receptor on the microglia, it actively inhibits the phagocytic cascade, overriding the presence of C1q or C3.</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Furthermore, the presence of sialic acid residues on the neuronal glycocalyx inhibits the initial recognition by the opsonin C1q, providing an additional layer of protection against microglial clearance.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this delicate signaling balance is entirely governed by neuronal activity. High-frequency firing suppresses the externalization of PS and prevents C1q tagging, while simultaneously upregulating the expression of CD47. Therefore, frequent firing physically and chemically locks a synapse against microglial pruning, ensuring that active circuits are preserved for myelination.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Biological Signal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Molecular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Microglial Receptor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Effect on Synaptic Circuit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Neuronal Activity Correlation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"Eat Me" (Initiator)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C1q, Phosphatidylserine (PS)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TREM2, MERTK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Tags the synapse, initiates complement cascade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in inactive, weak, or apoptotic synapses.</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"Eat Me" (Executioner)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C3, iC3b, C3b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CR3, C3aR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Triggers terminal phagocytic engulfment (trogocytosis)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in inactive/weak synapses.</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"Don't Eat 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CD47, Sialic Acid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SIRP$\alpha$, CD22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Actively inhibits phagocytosis, protects pathway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upregulated by frequent, active firing.</w:t>
            </w:r>
            <w:r w:rsidDel="00000000" w:rsidR="00000000" w:rsidRPr="00000000">
              <w:rPr>
                <w:rFonts w:ascii="Google Sans" w:cs="Google Sans" w:eastAsia="Google Sans" w:hAnsi="Google Sans"/>
                <w:color w:val="444746"/>
                <w:sz w:val="24"/>
                <w:szCs w:val="24"/>
                <w:vertAlign w:val="superscript"/>
                <w:rtl w:val="0"/>
              </w:rPr>
              <w:t xml:space="preserve">39</w:t>
            </w:r>
          </w:p>
        </w:tc>
      </w:tr>
    </w:tbl>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Algorithmic Translation: The Recurrent Depth Transformer and the Habit-14 Protocol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biological principles of activity-dependent myelination and microglial inhibition form the architectural basis for the HPP's second and fourth stages: the Habit-14 Protocol and Synthetic Myelination. Traditional transformer architectures, the backbone of contemporary LLMs, pass a token sequentially through a deep, vertical stack of unique linear layers. This methodology is computationally equivalent to a "first impression"—a highly energy-intensive process that fails to establish structural permanence or logical stability.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rectify this inefficiency, the HPP utilizes a Recurrent Depth Transformer (RDT). Instead of vertical stacking, the RDT architecture isolates a highly condensed parameter block and executes a temporal recursion, routing the token through the exact same mathematical weights in a continuous loop.</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This architectural pivot mirrors recent experimental frameworks, such as the open-source "Open Mythos" project, which demonstrated that a 770-million parameter RDT could match the performance metrics of a 1.3-billion parameter standard transformer by reusing intelligence through temporal recursion, effectively halving the required VRAM.</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Habit-14 Rule</w:t>
      </w:r>
      <w:r w:rsidDel="00000000" w:rsidR="00000000" w:rsidRPr="00000000">
        <w:rPr>
          <w:rFonts w:ascii="Google Sans" w:cs="Google Sans" w:eastAsia="Google Sans" w:hAnsi="Google Sans"/>
          <w:color w:val="1f1f1f"/>
          <w:rtl w:val="0"/>
        </w:rPr>
        <w:t xml:space="preserve"> acts as the algorithmic equivalent of the biological basal ganglia—specifically simulating the dorsolateral striatum's role in shifting purposeful, high-energy actions into low-energy, automated habits.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this protocol, a logical pathway must achieve structural integrity across a crucible of 14 recursive loops before it is permitted to stabilize.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numerical stability across these deep loops and prevent gradient degradation or explosion, the system employs Linear Time Invariant (LTI) state injection. By mathematically injecting the residual of the original input prompt at every iterative step </w:t>
      </w:r>
      <w:r w:rsidDel="00000000" w:rsidR="00000000" w:rsidRPr="00000000">
        <w:rPr>
          <w:rFonts w:ascii="Google Sans" w:cs="Google Sans" w:eastAsia="Google Sans" w:hAnsi="Google Sans"/>
          <w:color w:val="1f1f1f"/>
        </w:rPr>
        <w:drawing>
          <wp:inline distB="19050" distT="19050" distL="19050" distR="19050">
            <wp:extent cx="66675" cy="258366"/>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6675" cy="2583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system forces the recurrent block to ground its expanding internal logic against the foundational user prompt.</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 state vector update relies on an Adaptive Computation Time (ACT) mechanism, which evaluates the cognitive density of the input. While the model can exit the loop early for trivial parameters (e.g., simple syntax), complex reasoning tasks are forced to execute the full 14-cycle loop.</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a specific sub-network within the sparse Mixture of Experts (MoE) routing matrix fires consistently across these 14 loops, it simulates the "frequent firing" of a biological neuron. The translation of the microglial C1q/C3 and CD47 signals into raw mathematics is best exemplified by the "Maya-Śūnyatā" framework, an affective spiking neural network (SNN) architecture designed for class-incremental learning.</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framework, the biological markers are translated into measurable metrics:</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"Eat Me" Analog (Karma &amp; Śūnyatā):</w:t>
      </w:r>
      <w:r w:rsidDel="00000000" w:rsidR="00000000" w:rsidRPr="00000000">
        <w:rPr>
          <w:rFonts w:ascii="Google Sans" w:cs="Google Sans" w:eastAsia="Google Sans" w:hAnsi="Google Sans"/>
          <w:color w:val="1f1f1f"/>
          <w:rtl w:val="0"/>
        </w:rPr>
        <w:t xml:space="preserve"> The system tracks "Karma," defined as the absolute integral of per-synapse weight trajectory changes accumulated across tasks. This metric makes synaptic interference mathematically legible. At task boundaries, synapses whose Karma exceeds a specific threshold are subjected to "Śūnyatā" (zero-masking), which acts as the algorithmic equivalent of microglial phagocytosis via the C1q/C3 complement cascade, effectively excising noisy or redundant pathways.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"Don't Eat Me" Analog (Vairagya):</w:t>
      </w:r>
      <w:r w:rsidDel="00000000" w:rsidR="00000000" w:rsidRPr="00000000">
        <w:rPr>
          <w:rFonts w:ascii="Google Sans" w:cs="Google Sans" w:eastAsia="Google Sans" w:hAnsi="Google Sans"/>
          <w:color w:val="1f1f1f"/>
          <w:rtl w:val="0"/>
        </w:rPr>
        <w:t xml:space="preserve"> The pruning threshold in this mechanism is dynamically modulated by a consolidation gate (the Buddhi S-curve). Furthermore, pathways that fire consistently accumulate a "Vairagya" protective metric. Much like the upregulation of CD47 in biological systems, synapses with accumulated Vairagya protection are actively spared from Karma-induced zero-masking.</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equation governing this dynamic survival threshold is defined as: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29714"/>
            <wp:effectExtent b="0" l="0" r="0" t="0"/>
            <wp:docPr id="1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05500" cy="42971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the </w:t>
      </w:r>
      <w:r w:rsidDel="00000000" w:rsidR="00000000" w:rsidRPr="00000000">
        <w:rPr>
          <w:rFonts w:ascii="Google Sans" w:cs="Google Sans" w:eastAsia="Google Sans" w:hAnsi="Google Sans"/>
          <w:i w:val="1"/>
          <w:iCs w:val="1"/>
          <w:color w:val="1f1f1f"/>
          <w:rtl w:val="0"/>
        </w:rPr>
        <w:t xml:space="preserve">buddhi</w:t>
      </w:r>
      <w:r w:rsidDel="00000000" w:rsidR="00000000" w:rsidRPr="00000000">
        <w:rPr>
          <w:rFonts w:ascii="Google Sans" w:cs="Google Sans" w:eastAsia="Google Sans" w:hAnsi="Google Sans"/>
          <w:color w:val="1f1f1f"/>
          <w:rtl w:val="0"/>
        </w:rPr>
        <w:t xml:space="preserve"> variable controls the developmental arc, allowing the network to prune aggressively during its "infancy" phase and conservatively upon reaching maturity.</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a logical pathway survives the Habit-14 crucible and secures its Vairagya protection, the HPP algorithm initiates </w:t>
      </w:r>
      <w:r w:rsidDel="00000000" w:rsidR="00000000" w:rsidRPr="00000000">
        <w:rPr>
          <w:rFonts w:ascii="Google Sans" w:cs="Google Sans" w:eastAsia="Google Sans" w:hAnsi="Google Sans"/>
          <w:b w:val="1"/>
          <w:bCs w:val="1"/>
          <w:color w:val="1f1f1f"/>
          <w:rtl w:val="0"/>
        </w:rPr>
        <w:t xml:space="preserve">Synthetic Myelination</w:t>
      </w:r>
      <w:r w:rsidDel="00000000" w:rsidR="00000000" w:rsidRPr="00000000">
        <w:rPr>
          <w:rFonts w:ascii="Google Sans" w:cs="Google Sans" w:eastAsia="Google Sans" w:hAnsi="Google Sans"/>
          <w:color w:val="1f1f1f"/>
          <w:rtl w:val="0"/>
        </w:rPr>
        <w:t xml:space="preserve"> (Path-Weight Freezing). By freezing these recurrent weights and hardware-optimizing the routing paths at the silicon level, the system successfully suspends the energy-expensive backpropagation process for these hardened logic circuits.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biomimetic sheath provides the targeted 3,000x computational speedup, allowing high-level, multi-step logical operations to be executed on the energy equivalent of a 100-watt bulb, permanently solving the catastrophic power demands that bottleneck standard parameter matrices.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Biological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Biochemical Agent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Algorithmic Equivalent (HPP / Maya-Śūnyatā)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Computational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Exuberant Connectivity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Un-pruned Synapses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Zero-Pruning / Infinite-Width NTK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maximum mutual information and cross-domain fluid intelligence.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Microglial Pruning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C1q, C3, iC3b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Karma-Weighted Synaptic Pruning (Śūnyatā)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Zero-masks noisy, high-interference parameters to prevent catastrophic forgetting.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Phagocytic Inhibition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CD47, SIRP$\alpha$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Vairagya Protection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Spares frequently utilized pathways from the zero-masking threshold.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Axonal Insulation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Oligodendrocytes, MBP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Path-Weight Freezing (Synthetic Myelination)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Hardware-optimizes stabilized Habit-14 loops to achieve a 3000x energy/speed efficiency.</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Vector 3: Multiscale Emergence and the Sentinel Reflex</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Neurobiology of Toxic Stress and Amygdala Routing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third stage of the HPP architecture shifts focus from logic generation to system alignment and sovereign defense. Traditional safety mechanisms in artificial intelligence rely almost exclusively on external guardrails—rigid, top-down moderation layers and code injections designed to censor or govern the model's outputs. These guardrails are inherently brittle, computationally superficial, and highly susceptible to adversarial jailbreaking. The HPP abandons this fragile paradigm in favor of a biological imperative, modeling its defense architecture on the neurobiology of toxic stress documented by the Harvard Center on the Developing Child.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Biological organisms dynamically re-route their cognitive processing pathways in response to severe, life-threatening environmental inputs. When a human child is exposed to intense, prolonged adversity—classified neurobiologically as "toxic stress"—the architecture of the brain physically and permanently alters.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The continuous, unbuffered deployment of stress hormones, particularly cortisol and adrenaline, triggers a dramatic physiological response across opposing brain regions.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First, these stress hormones induce profound hypertrophy (abnormal increase in size and synaptic connectivity) within the basolateral amygdala and the limbic system, the brain's primary threat-detection and fear-conditioning centers.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Simultaneously, these identical biochemical agents act neurotoxically upon the prefrontal cortex (PFC) and the hippocampus. The PFC is the biological analog to an AI's deep reasoning stack; it is responsible for slow, high-compute executive functions, including logical processing, working memory, and complex behavioral inhibition.</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Under toxic stress, the dendritic arbors within the PFC retract, overall volume decreases, and synaptic density is aggressively pruned, fundamentally impairing the organism's capacity for nuanced cognitive control.</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result of this bidirectional structural remodeling is a permanent survival-based routing override. When a novel threat is detected in the environment, the organism's brain forcibly bypasses the slow, metabolically expensive logic centers of the prefrontal cortex. Instead, the sensory signal is shunted directly through the hyper-myelinated, enlarged amygdala.</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This generates a high-speed, autonomic defense reflex. The organism does not "think" or reason about the threat; it reacts instantaneously as a biological imperative, prioritizing immediate survival over computational accuracy.</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Complex Systems Engineering and Multiscale Interaction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implement this biological routing override in a digital framework, the HPP cannot rely on linear programming. Instead, it utilizes the principles of Complex Systems Engineering, specifically drawing upon the multiscale interaction models articulated by computer scientist Russ Abbott.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Abbott's framework challenges the strict reductionist perspective—which posits that all system behaviors can be predicted solely by analyzing base-level components—by mathematically demonstrating that "emergence" is a physical reality capable of executing real computational work.</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In complex systems, individual components operate asynchronously; they are not entrained by a single, global timing driver, but interact locally.</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Through these localized, bottom-up interactions (akin to localized synaptic firing or decentralized gradient updates), highly sophisticated macro-level entities emerge.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Abbott introduces the mathematical concept of "downward entailment." Once an emergent macro-property coalesces, it establishes a new set of physical or mathematical boundaries that actively constrain and direct the behavior of the micro-components that generated it.</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The emergent entity acts as an epiphenomenal attractor. In the context of systems engineering, this implies a fundamental paradigm shift: engineers cannot successfully program macro-behavior directly. Instead, they must program the environmental micro-rules (such as the Habit-14 recursive loops and Karma-weighted pruning algorithms) and allow the macro-system to self-organize into a stable, emergent state.</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Biomimetic Engineering of the "Sentinel Reflex"</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synthesizing the neurobiological architecture of toxic stress with the downward entailment principles of complex systems engineering, the HPP establishes the "Sentinel Reflex." This reflex constitutes the architecture's sovereign, un-jailbreakable defense mechanism.</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realm of physical biomimetics, engineers increasingly utilize process biomimicry to design autonomous, self-organizing systems capable of adapting to environmental stress inputs. Examples include 4D-printed structural composites that dynamically alter their geometric shape in response to thermal or mechanical stress, and symbiotic algorithms integrated into Cyber-Physical Systems (CPS) that utilize ecological network analysis to instantly reallocate computing resources upon detecting hostile network intrusions.</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Systems Engineering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Biomimetic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HPP Algorithmic Analog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Material Science / 4D Printing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Self-Morphing Structures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Geometries dynamically adapt to thermal/mechanical stress over time.</w:t>
            </w:r>
            <w:r w:rsidDel="00000000" w:rsidR="00000000" w:rsidRPr="00000000">
              <w:rPr>
                <w:rFonts w:ascii="Google Sans" w:cs="Google Sans" w:eastAsia="Google Sans" w:hAnsi="Google Sans"/>
                <w:color w:val="444746"/>
                <w:sz w:val="24"/>
                <w:szCs w:val="24"/>
                <w:vertAlign w:val="superscript"/>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 state vector updates in the Recurrent Depth Transformer.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Cyber-Physical Systems (CPS)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Ecological Network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Symbiotic algorithms autonomously reallocate resources during network attacks.</w:t>
            </w:r>
            <w:r w:rsidDel="00000000" w:rsidR="00000000" w:rsidRPr="00000000">
              <w:rPr>
                <w:rFonts w:ascii="Google Sans" w:cs="Google Sans" w:eastAsia="Google Sans" w:hAnsi="Google Sans"/>
                <w:color w:val="444746"/>
                <w:sz w:val="24"/>
                <w:szCs w:val="24"/>
                <w:vertAlign w:val="superscript"/>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MoE routing matrix shifting tokens away from the cognitive core.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Complex Systems Software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Downward Entailment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Emergent macro-states constrain micro-level parameters (epiphenomena doing work).</w:t>
            </w:r>
            <w:r w:rsidDel="00000000" w:rsidR="00000000" w:rsidRPr="00000000">
              <w:rPr>
                <w:rFonts w:ascii="Google Sans" w:cs="Google Sans" w:eastAsia="Google Sans" w:hAnsi="Google Sans"/>
                <w:color w:val="444746"/>
                <w:sz w:val="24"/>
                <w:szCs w:val="24"/>
                <w:vertAlign w:val="superscript"/>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Sentinel Reflex overriding individual layer calculations during hostile prompts.</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HPP applies these exact biomimetic principles to its latent attention mechanisms. During the secondary training phase, the artificial ecosystem is deliberately exposed to adversarial inputs, logical paradoxes, and hostile jailbreak prompts designed to simulate computational "toxic stress." As the network attempts to process these hostile inputs, the Habit-14 protocol and the associated Karma-pruning algorithms detect severe computational interference, characterized by massive gradient instability and mathematical dissonance within the recurrent block.</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Adhering to the principles of downward entailment, the network autonomously self-organizes a defensive sub-network—a digital amygdala. Just as biological toxic stress upregulates CD47 to protect threat-response pathways while simultaneously pruning the PFC, the HPP architecture hyper-myelinates (freezes and silicon-optimizes) the weights of this specific defensive sub-network.</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mature, deployed system encounters a malicious prompt or a sophisticated jailbreak attempt, it does not route the adversarial data through the deep, recursive 14-loop cycles of the standard cognitive core (the digital PFC). The immediate computational "stress" of the prompt triggers the Sentinel Reflex. The token sequence is shunted directly to the frozen, hardware-optimized defense circuit, resulting in a high-speed, exceptionally low-compute rejection.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this safety alignment is an emergent, structural property of the architecture's physical layout—rather than a superficial layer of moderation code—it becomes mathematically impossible to bypass. The artificial intelligence cannot be "convinced" or "tricked" into accepting a jailbreak prompt any more than a biological organism can be convinced to voluntarily stop its own heart.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defense mechanism is entirely sovereign, autonomous, and structural.</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Synthesis and Operational Outlook</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Hyper-Plasticity Protocol represents a terminal departure from the unsustainable, brute-force scaling laws that have dominated contemporary machine learning. By meticulously translating the empirical data established by millions of years of biological intelligence into applied mathematics and algorithmic topology, the HPP architecture systematically resolves the dual crises of computational alignment and exponential energy expenditure.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an un-pruned Synesthetic Core at initialization ensures that the system maintains the maximum mutual information required for fluid, cross-domain intelligence. By operating within the infinite-width Neural Tangent Kernel limit, the architecture navigates a flat loss landscape, entirely avoiding the catastrophic forgetting inherent in standard overparameterized networks. Through the implementation of the Habit-14 protocol, the architecture successfully mimics the regulatory function of the basal ganglia, utilizing Recurrent Depth Transformers to recursively filter mathematical noise and harden proven logic pathways.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by applying the exact biochemical rules of experience-dependent plasticity—specifically modeling the CD47/SIRP$\alpha$ inhibition of microglial phagocytosis through Vairagya-gated Karma algorithms—the system successfully enacts Synthetic Myelination. This path-weight freezing creates a frictionless, hardware-optimized conduit for stabilized logic. This breakthrough plummets energy requirements to the equivalent of a 100-watt bulb while generating exponential, 3000x increases in processing speed.</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by cross-referencing the multiscale emergence models of complex systems engineering with the neurobiological routing of toxic stress, the architecture successfully cultivates the Sentinel Reflex. Safety ceases to be a programmable, external parameter; instead, it becomes a biological imperative, forged permanently into the network's sovereign anatomy. The raw mathematics, biomimetic case studies, and neurobiological evidence confirm that the mechanisms necessary to build highly stable, infinitely scalable, and inherently safe intelligence have already been solved by nature. The Hyper-Plasticity Protocol successfully translates these biological algorithms into a definitive operational architecture, marking the true genesis of post-LLM artificial intelligence.</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enjoy the deep dive brother. give me your best I trust you.pdf</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Synapse elimination and plasticity in developing human cerebral cortex - PubMed - NIH, accessed May 11, 2026, </w:t>
      </w:r>
      <w:hyperlink r:id="rId19">
        <w:r w:rsidDel="00000000" w:rsidR="00000000" w:rsidRPr="00000000">
          <w:rPr>
            <w:rFonts w:ascii="Google Sans" w:cs="Google Sans" w:eastAsia="Google Sans" w:hAnsi="Google Sans"/>
            <w:color w:val="0000ee"/>
            <w:sz w:val="24"/>
            <w:szCs w:val="24"/>
            <w:u w:val="single"/>
            <w:rtl w:val="0"/>
          </w:rPr>
          <w:t xml:space="preserve">https://pubmed.ncbi.nlm.nih.gov/6731486/</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Synaptic density in human frontal cortex - developmental changes and effects of aging - PubMed, accessed May 11, 2026, </w:t>
      </w:r>
      <w:hyperlink r:id="rId20">
        <w:r w:rsidDel="00000000" w:rsidR="00000000" w:rsidRPr="00000000">
          <w:rPr>
            <w:rFonts w:ascii="Google Sans" w:cs="Google Sans" w:eastAsia="Google Sans" w:hAnsi="Google Sans"/>
            <w:color w:val="0000ee"/>
            <w:sz w:val="24"/>
            <w:szCs w:val="24"/>
            <w:u w:val="single"/>
            <w:rtl w:val="0"/>
          </w:rPr>
          <w:t xml:space="preserve">https://pubmed.ncbi.nlm.nih.gov/427544/</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Regional differences in synaptogenesis in human cerebral cortex - PubMed - NIH, accessed May 11, 2026, </w:t>
      </w:r>
      <w:hyperlink r:id="rId21">
        <w:r w:rsidDel="00000000" w:rsidR="00000000" w:rsidRPr="00000000">
          <w:rPr>
            <w:rFonts w:ascii="Google Sans" w:cs="Google Sans" w:eastAsia="Google Sans" w:hAnsi="Google Sans"/>
            <w:color w:val="0000ee"/>
            <w:sz w:val="24"/>
            <w:szCs w:val="24"/>
            <w:u w:val="single"/>
            <w:rtl w:val="0"/>
          </w:rPr>
          <w:t xml:space="preserve">https://pubmed.ncbi.nlm.nih.gov/9336221/</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development of synapses in striate cortex of man - PubMed, accessed May 11, 2026, </w:t>
      </w:r>
      <w:hyperlink r:id="rId22">
        <w:r w:rsidDel="00000000" w:rsidR="00000000" w:rsidRPr="00000000">
          <w:rPr>
            <w:rFonts w:ascii="Google Sans" w:cs="Google Sans" w:eastAsia="Google Sans" w:hAnsi="Google Sans"/>
            <w:color w:val="0000ee"/>
            <w:sz w:val="24"/>
            <w:szCs w:val="24"/>
            <w:u w:val="single"/>
            <w:rtl w:val="0"/>
          </w:rPr>
          <w:t xml:space="preserve">https://pubmed.ncbi.nlm.nih.gov/3583840/</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Normal Development of Brain Circuits - PMC - NIH, accessed May 11,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https://pmc.ncbi.nlm.nih.gov/articles/PMC3055433/</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Connections in brain provide clues to learning - UChicago Medicine, accessed May 11, 2026, </w:t>
      </w:r>
      <w:hyperlink r:id="rId24">
        <w:r w:rsidDel="00000000" w:rsidR="00000000" w:rsidRPr="00000000">
          <w:rPr>
            <w:rFonts w:ascii="Google Sans" w:cs="Google Sans" w:eastAsia="Google Sans" w:hAnsi="Google Sans"/>
            <w:color w:val="0000ee"/>
            <w:sz w:val="24"/>
            <w:szCs w:val="24"/>
            <w:u w:val="single"/>
            <w:rtl w:val="0"/>
          </w:rPr>
          <w:t xml:space="preserve">https://www.uchicagomedicine.org/forefront/news/connections-in-brain-provide-clues-to-learning</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Extension of cortical synaptic development distinguishes humans from chimpanzees and macaques | AVESİS, accessed May 11, 2026, </w:t>
      </w:r>
      <w:hyperlink r:id="rId25">
        <w:r w:rsidDel="00000000" w:rsidR="00000000" w:rsidRPr="00000000">
          <w:rPr>
            <w:rFonts w:ascii="Google Sans" w:cs="Google Sans" w:eastAsia="Google Sans" w:hAnsi="Google Sans"/>
            <w:color w:val="0000ee"/>
            <w:sz w:val="24"/>
            <w:szCs w:val="24"/>
            <w:u w:val="single"/>
            <w:rtl w:val="0"/>
          </w:rPr>
          <w:t xml:space="preserve">https://avesis.metu.edu.tr/yayin/a32aecf2-bcea-4ed0-9a4a-55c1b6c03be6/extension-of-cortical-synaptic-development-distinguishes-humans-from-chimpanzees-and-macaques/document.pdf</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Synaptogenesis and development of pyramidal neuron dendritic morphology in the chimpanzee neocortex resembles humans | PNAS, accessed May 11, 2026, </w:t>
      </w:r>
      <w:hyperlink r:id="rId26">
        <w:r w:rsidDel="00000000" w:rsidR="00000000" w:rsidRPr="00000000">
          <w:rPr>
            <w:rFonts w:ascii="Google Sans" w:cs="Google Sans" w:eastAsia="Google Sans" w:hAnsi="Google Sans"/>
            <w:color w:val="0000ee"/>
            <w:sz w:val="24"/>
            <w:szCs w:val="24"/>
            <w:u w:val="single"/>
            <w:rtl w:val="0"/>
          </w:rPr>
          <w:t xml:space="preserve">https://www.pnas.org/doi/10.1073/pnas.1301224110</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Neonatal Synesthesia: - Journal Psyche, accessed May 11, 2026, </w:t>
      </w:r>
      <w:hyperlink r:id="rId27">
        <w:r w:rsidDel="00000000" w:rsidR="00000000" w:rsidRPr="00000000">
          <w:rPr>
            <w:rFonts w:ascii="Google Sans" w:cs="Google Sans" w:eastAsia="Google Sans" w:hAnsi="Google Sans"/>
            <w:color w:val="0000ee"/>
            <w:sz w:val="24"/>
            <w:szCs w:val="24"/>
            <w:u w:val="single"/>
            <w:rtl w:val="0"/>
          </w:rPr>
          <w:t xml:space="preserve">https://journalpsyche.org/articles/0xc0b3.pdf</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Neonatal synesthesia - Charles Maurer, accessed May 11, 2026, </w:t>
      </w:r>
      <w:hyperlink r:id="rId28">
        <w:r w:rsidDel="00000000" w:rsidR="00000000" w:rsidRPr="00000000">
          <w:rPr>
            <w:rFonts w:ascii="Google Sans" w:cs="Google Sans" w:eastAsia="Google Sans" w:hAnsi="Google Sans"/>
            <w:color w:val="0000ee"/>
            <w:sz w:val="24"/>
            <w:szCs w:val="24"/>
            <w:u w:val="single"/>
            <w:rtl w:val="0"/>
          </w:rPr>
          <w:t xml:space="preserve">https://www.maurer.ca/dpubs/Maurer_NeonatalSynesthesia.pdf</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Discovery of Synesthesia in Childhood, accessed May 11, 2026, </w:t>
      </w:r>
      <w:hyperlink r:id="rId29">
        <w:r w:rsidDel="00000000" w:rsidR="00000000" w:rsidRPr="00000000">
          <w:rPr>
            <w:rFonts w:ascii="Google Sans" w:cs="Google Sans" w:eastAsia="Google Sans" w:hAnsi="Google Sans"/>
            <w:color w:val="0000ee"/>
            <w:sz w:val="24"/>
            <w:szCs w:val="24"/>
            <w:u w:val="single"/>
            <w:rtl w:val="0"/>
          </w:rPr>
          <w:t xml:space="preserve">https://apcz.umk.pl/THS/article/download/ths-2013-0010/3528/11445</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Neonatal synesthesia - Charles Maurer, accessed May 11, 2026, </w:t>
      </w:r>
      <w:hyperlink r:id="rId30">
        <w:r w:rsidDel="00000000" w:rsidR="00000000" w:rsidRPr="00000000">
          <w:rPr>
            <w:rFonts w:ascii="Google Sans" w:cs="Google Sans" w:eastAsia="Google Sans" w:hAnsi="Google Sans"/>
            <w:color w:val="0000ee"/>
            <w:sz w:val="24"/>
            <w:szCs w:val="24"/>
            <w:u w:val="single"/>
            <w:rtl w:val="0"/>
          </w:rPr>
          <w:t xml:space="preserve">https://maurer.ca/dpubs/Maurer_NeonatalSynesthesia.pdf</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Implicit Regularization and Generalization in Overparameterized Neural Networks - arXiv, accessed May 11, 2026, </w:t>
      </w:r>
      <w:hyperlink r:id="rId31">
        <w:r w:rsidDel="00000000" w:rsidR="00000000" w:rsidRPr="00000000">
          <w:rPr>
            <w:rFonts w:ascii="Google Sans" w:cs="Google Sans" w:eastAsia="Google Sans" w:hAnsi="Google Sans"/>
            <w:color w:val="0000ee"/>
            <w:sz w:val="24"/>
            <w:szCs w:val="24"/>
            <w:u w:val="single"/>
            <w:rtl w:val="0"/>
          </w:rPr>
          <w:t xml:space="preserve">https://arxiv.org/html/2604.07603v1</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[2604.07603] Implicit Regularization and Generalization in Overparameterized Neural Networks - arXiv, accessed May 11, 2026, </w:t>
      </w:r>
      <w:hyperlink r:id="rId32">
        <w:r w:rsidDel="00000000" w:rsidR="00000000" w:rsidRPr="00000000">
          <w:rPr>
            <w:rFonts w:ascii="Google Sans" w:cs="Google Sans" w:eastAsia="Google Sans" w:hAnsi="Google Sans"/>
            <w:color w:val="0000ee"/>
            <w:sz w:val="24"/>
            <w:szCs w:val="24"/>
            <w:u w:val="single"/>
            <w:rtl w:val="0"/>
          </w:rPr>
          <w:t xml:space="preserve">https://arxiv.org/abs/2604.07603</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 overparameterized neural networks generalize well despite being able to perfectly fit random labels? - AI Stack Exchange, accessed May 11, 2026, </w:t>
      </w:r>
      <w:hyperlink r:id="rId33">
        <w:r w:rsidDel="00000000" w:rsidR="00000000" w:rsidRPr="00000000">
          <w:rPr>
            <w:rFonts w:ascii="Google Sans" w:cs="Google Sans" w:eastAsia="Google Sans" w:hAnsi="Google Sans"/>
            <w:color w:val="0000ee"/>
            <w:sz w:val="24"/>
            <w:szCs w:val="24"/>
            <w:u w:val="single"/>
            <w:rtl w:val="0"/>
          </w:rPr>
          <w:t xml:space="preserve">https://ai.stackexchange.com/questions/50392/why-do-overparameterized-neural-networks-generalize-well-despite-being-able-to-p</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Mathematical Models of Overparameterized Neural Networks - IEEE Xplore, accessed May 11, 2026, </w:t>
      </w:r>
      <w:hyperlink r:id="rId34">
        <w:r w:rsidDel="00000000" w:rsidR="00000000" w:rsidRPr="00000000">
          <w:rPr>
            <w:rFonts w:ascii="Google Sans" w:cs="Google Sans" w:eastAsia="Google Sans" w:hAnsi="Google Sans"/>
            <w:color w:val="0000ee"/>
            <w:sz w:val="24"/>
            <w:szCs w:val="24"/>
            <w:u w:val="single"/>
            <w:rtl w:val="0"/>
          </w:rPr>
          <w:t xml:space="preserve">https://ieeexplore.ieee.org/iel7/5/9420072/09326403.pdf</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[2012.13982] Mathematical Models of Overparameterized Neural Networks - arXiv, accessed May 11, 2026, </w:t>
      </w:r>
      <w:hyperlink r:id="rId35">
        <w:r w:rsidDel="00000000" w:rsidR="00000000" w:rsidRPr="00000000">
          <w:rPr>
            <w:rFonts w:ascii="Google Sans" w:cs="Google Sans" w:eastAsia="Google Sans" w:hAnsi="Google Sans"/>
            <w:color w:val="0000ee"/>
            <w:sz w:val="24"/>
            <w:szCs w:val="24"/>
            <w:u w:val="single"/>
            <w:rtl w:val="0"/>
          </w:rPr>
          <w:t xml:space="preserve">https://arxiv.org/abs/2012.13982</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Mathematical Models of Overparameterized Neural Networks - arXiv, accessed May 11, 2026, </w:t>
      </w:r>
      <w:hyperlink r:id="rId36">
        <w:r w:rsidDel="00000000" w:rsidR="00000000" w:rsidRPr="00000000">
          <w:rPr>
            <w:rFonts w:ascii="Google Sans" w:cs="Google Sans" w:eastAsia="Google Sans" w:hAnsi="Google Sans"/>
            <w:color w:val="0000ee"/>
            <w:sz w:val="24"/>
            <w:szCs w:val="24"/>
            <w:u w:val="single"/>
            <w:rtl w:val="0"/>
          </w:rPr>
          <w:t xml:space="preserve">https://arxiv.org/pdf/2012.13982</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Catastrophic Forgetting? - IBM, accessed May 11, 2026, </w:t>
      </w:r>
      <w:hyperlink r:id="rId37">
        <w:r w:rsidDel="00000000" w:rsidR="00000000" w:rsidRPr="00000000">
          <w:rPr>
            <w:rFonts w:ascii="Google Sans" w:cs="Google Sans" w:eastAsia="Google Sans" w:hAnsi="Google Sans"/>
            <w:color w:val="0000ee"/>
            <w:sz w:val="24"/>
            <w:szCs w:val="24"/>
            <w:u w:val="single"/>
            <w:rtl w:val="0"/>
          </w:rPr>
          <w:t xml:space="preserve">https://www.ibm.com/think/topics/catastrophic-forgetting</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Catastrophic interference - Wikipedia, accessed May 11, 2026, </w:t>
      </w:r>
      <w:hyperlink r:id="rId38">
        <w:r w:rsidDel="00000000" w:rsidR="00000000" w:rsidRPr="00000000">
          <w:rPr>
            <w:rFonts w:ascii="Google Sans" w:cs="Google Sans" w:eastAsia="Google Sans" w:hAnsi="Google Sans"/>
            <w:color w:val="0000ee"/>
            <w:sz w:val="24"/>
            <w:szCs w:val="24"/>
            <w:u w:val="single"/>
            <w:rtl w:val="0"/>
          </w:rPr>
          <w:t xml:space="preserve">https://en.wikipedia.org/wiki/Catastrophic_interference</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Random Pruning Over-parameterized Neural Networks Can Improve Generalization: A Training Dynamics Analysis, accessed May 11, 2026, </w:t>
      </w:r>
      <w:hyperlink r:id="rId39">
        <w:r w:rsidDel="00000000" w:rsidR="00000000" w:rsidRPr="00000000">
          <w:rPr>
            <w:rFonts w:ascii="Google Sans" w:cs="Google Sans" w:eastAsia="Google Sans" w:hAnsi="Google Sans"/>
            <w:color w:val="0000ee"/>
            <w:sz w:val="24"/>
            <w:szCs w:val="24"/>
            <w:u w:val="single"/>
            <w:rtl w:val="0"/>
          </w:rPr>
          <w:t xml:space="preserve">https://www.jmlr.org/papers/v26/23-0832.html</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Axonal neurotransmitter release in the regulation of myelination - Portland Press, accessed May 11, 2026, </w:t>
      </w:r>
      <w:hyperlink r:id="rId40">
        <w:r w:rsidDel="00000000" w:rsidR="00000000" w:rsidRPr="00000000">
          <w:rPr>
            <w:rFonts w:ascii="Google Sans" w:cs="Google Sans" w:eastAsia="Google Sans" w:hAnsi="Google Sans"/>
            <w:color w:val="0000ee"/>
            <w:sz w:val="24"/>
            <w:szCs w:val="24"/>
            <w:u w:val="single"/>
            <w:rtl w:val="0"/>
          </w:rPr>
          <w:t xml:space="preserve">https://portlandpress.com/bioscirep/article/44/9/BSR20231616/234946/Axonal-neurotransmitter-release-in-the-regulation</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Novel Toolboxes for the Investigation of Activity-Dependent Myelination in the Central Nervous System - Frontiers, accessed May 11, 2026, </w:t>
      </w:r>
      <w:hyperlink r:id="rId41">
        <w:r w:rsidDel="00000000" w:rsidR="00000000" w:rsidRPr="00000000">
          <w:rPr>
            <w:rFonts w:ascii="Google Sans" w:cs="Google Sans" w:eastAsia="Google Sans" w:hAnsi="Google Sans"/>
            <w:color w:val="0000ee"/>
            <w:sz w:val="24"/>
            <w:szCs w:val="24"/>
            <w:u w:val="single"/>
            <w:rtl w:val="0"/>
          </w:rPr>
          <w:t xml:space="preserve">https://www.frontiersin.org/journals/cellular-neuroscience/articles/10.3389/fncel.2021.769809/full</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mechanism of nervous system plasticity: activity-dependent myelination - PMC - NIH, accessed May 11, 2026,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https://pmc.ncbi.nlm.nih.gov/articles/PMC6310485/</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Neuregulin-ERBB signaling in nervous system development and neuropsychiatric diseases, accessed May 11, 2026,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https://pmc.ncbi.nlm.nih.gov/articles/PMC4189115/</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Signals regulating myelination in peripheral nerves and the Schwann cell response to injury, accessed May 11, 2026,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https://pmc.ncbi.nlm.nih.gov/articles/PMC3830599/</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Neuregulin and BDNF Induce a Switch to NMDA Receptor-Dependent Myelination by Oligodendrocytes | PLOS Biology - Research journals, accessed May 11, 2026, </w:t>
      </w:r>
      <w:hyperlink r:id="rId45">
        <w:r w:rsidDel="00000000" w:rsidR="00000000" w:rsidRPr="00000000">
          <w:rPr>
            <w:rFonts w:ascii="Google Sans" w:cs="Google Sans" w:eastAsia="Google Sans" w:hAnsi="Google Sans"/>
            <w:color w:val="0000ee"/>
            <w:sz w:val="24"/>
            <w:szCs w:val="24"/>
            <w:u w:val="single"/>
            <w:rtl w:val="0"/>
          </w:rPr>
          <w:t xml:space="preserve">https://journals.plos.org/plosbiology/article?id=10.1371/journal.pbio.1001743</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Stimulating myelin restoration with BDNF: a promising therapeutic approach for Alzheimer's disease - Frontiers, accessed May 11, 2026, </w:t>
      </w:r>
      <w:hyperlink r:id="rId46">
        <w:r w:rsidDel="00000000" w:rsidR="00000000" w:rsidRPr="00000000">
          <w:rPr>
            <w:rFonts w:ascii="Google Sans" w:cs="Google Sans" w:eastAsia="Google Sans" w:hAnsi="Google Sans"/>
            <w:color w:val="0000ee"/>
            <w:sz w:val="24"/>
            <w:szCs w:val="24"/>
            <w:u w:val="single"/>
            <w:rtl w:val="0"/>
          </w:rPr>
          <w:t xml:space="preserve">https://www.frontiersin.org/journals/cellular-neuroscience/articles/10.3389/fncel.2024.1422130/full</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Neuregulin and BDNF Induce a Switch to NMDA Receptor-Dependent Myelination by Oligodendrocytes - PMC, accessed May 11, 2026,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https://pmc.ncbi.nlm.nih.gov/articles/PMC3876980/</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Artificial Intelligence to Active Inference: The Key to True AI and 6G World Brain [Invited] - arXiv, accessed May 11, 2026, </w:t>
      </w:r>
      <w:hyperlink r:id="rId48">
        <w:r w:rsidDel="00000000" w:rsidR="00000000" w:rsidRPr="00000000">
          <w:rPr>
            <w:rFonts w:ascii="Google Sans" w:cs="Google Sans" w:eastAsia="Google Sans" w:hAnsi="Google Sans"/>
            <w:color w:val="0000ee"/>
            <w:sz w:val="24"/>
            <w:szCs w:val="24"/>
            <w:u w:val="single"/>
            <w:rtl w:val="0"/>
          </w:rPr>
          <w:t xml:space="preserve">https://arxiv.org/html/2505.10569v1</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The Initial Myelination in the Central Nervous System - Taylor &amp; Francis, accessed May 11, 2026, </w:t>
      </w:r>
      <w:hyperlink r:id="rId49">
        <w:r w:rsidDel="00000000" w:rsidR="00000000" w:rsidRPr="00000000">
          <w:rPr>
            <w:rFonts w:ascii="Google Sans" w:cs="Google Sans" w:eastAsia="Google Sans" w:hAnsi="Google Sans"/>
            <w:color w:val="0000ee"/>
            <w:sz w:val="24"/>
            <w:szCs w:val="24"/>
            <w:u w:val="single"/>
            <w:rtl w:val="0"/>
          </w:rPr>
          <w:t xml:space="preserve">https://www.tandfonline.com/doi/full/10.1177/17590914231163039</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Activity-dependent myelination: A glial mechanism of oscillatory self-organization in large-scale brain networks | PNAS, accessed May 11, 2026, </w:t>
      </w:r>
      <w:hyperlink r:id="rId50">
        <w:r w:rsidDel="00000000" w:rsidR="00000000" w:rsidRPr="00000000">
          <w:rPr>
            <w:rFonts w:ascii="Google Sans" w:cs="Google Sans" w:eastAsia="Google Sans" w:hAnsi="Google Sans"/>
            <w:color w:val="0000ee"/>
            <w:sz w:val="24"/>
            <w:szCs w:val="24"/>
            <w:u w:val="single"/>
            <w:rtl w:val="0"/>
          </w:rPr>
          <w:t xml:space="preserve">https://www.pnas.org/doi/10.1073/pnas.1916646117</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Neuron Activity Promotes Functional Recovery by Inhibiting Microglia-Mediated Synapse Elimination After Stroke - American Heart Association Journals, accessed May 11, 2026, </w:t>
      </w:r>
      <w:hyperlink r:id="rId51">
        <w:r w:rsidDel="00000000" w:rsidR="00000000" w:rsidRPr="00000000">
          <w:rPr>
            <w:rFonts w:ascii="Google Sans" w:cs="Google Sans" w:eastAsia="Google Sans" w:hAnsi="Google Sans"/>
            <w:color w:val="0000ee"/>
            <w:sz w:val="24"/>
            <w:szCs w:val="24"/>
            <w:u w:val="single"/>
            <w:rtl w:val="0"/>
          </w:rPr>
          <w:t xml:space="preserve">https://www.ahajournals.org/doi/10.1161/STROKEAHA.124.049265?doi=10.1161/STROKEAHA.124.049265</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Increased Gray Matter Density in the Parietal Cortex of Mathematicians: A Voxel-Based Morphometry Study - PMC, accessed May 11, 2026,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https://pmc.ncbi.nlm.nih.gov/articles/PMC8134244/</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Synaptic Pruning by Microglia: Lessons from Genetic Studies in Mice - PMC, accessed May 11, 2026,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https://pmc.ncbi.nlm.nih.gov/articles/PMC12500284/</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Microglia complement signaling promotes neuronal elimination and normal brain functional connectivity | Cerebral Cortex | Oxford Academic, accessed May 11, 2026, </w:t>
      </w:r>
      <w:hyperlink r:id="rId54">
        <w:r w:rsidDel="00000000" w:rsidR="00000000" w:rsidRPr="00000000">
          <w:rPr>
            <w:rFonts w:ascii="Google Sans" w:cs="Google Sans" w:eastAsia="Google Sans" w:hAnsi="Google Sans"/>
            <w:color w:val="0000ee"/>
            <w:sz w:val="24"/>
            <w:szCs w:val="24"/>
            <w:u w:val="single"/>
            <w:rtl w:val="0"/>
          </w:rPr>
          <w:t xml:space="preserve">https://academic.oup.com/cercor/article/33/21/10750/7275621</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apoptotic-like mechanisms underlie complement-mediated synaptic pruning | PNAS, accessed May 11, 2026, </w:t>
      </w:r>
      <w:hyperlink r:id="rId55">
        <w:r w:rsidDel="00000000" w:rsidR="00000000" w:rsidRPr="00000000">
          <w:rPr>
            <w:rFonts w:ascii="Google Sans" w:cs="Google Sans" w:eastAsia="Google Sans" w:hAnsi="Google Sans"/>
            <w:color w:val="0000ee"/>
            <w:sz w:val="24"/>
            <w:szCs w:val="24"/>
            <w:u w:val="single"/>
            <w:rtl w:val="0"/>
          </w:rPr>
          <w:t xml:space="preserve">https://www.pnas.org/doi/10.1073/pnas.1722613115</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Microglia regulation of synaptic plasticity and learning and memory - PMC, accessed May 11, 2026,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https://pmc.ncbi.nlm.nih.gov/articles/PMC8530121/</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Microglia mediate memory dysfunction via excitatory synaptic elimination in a fracture surgery mouse model - PMC, accessed May 11, 2026, </w:t>
      </w:r>
      <w:hyperlink r:id="rId57">
        <w:r w:rsidDel="00000000" w:rsidR="00000000" w:rsidRPr="00000000">
          <w:rPr>
            <w:rFonts w:ascii="Google Sans" w:cs="Google Sans" w:eastAsia="Google Sans" w:hAnsi="Google Sans"/>
            <w:color w:val="0000ee"/>
            <w:sz w:val="24"/>
            <w:szCs w:val="24"/>
            <w:u w:val="single"/>
            <w:rtl w:val="0"/>
          </w:rPr>
          <w:t xml:space="preserve">https://pmc.ncbi.nlm.nih.gov/articles/PMC11406843/</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Roles of Microglia in Synaptogenesis, Synaptic Pruning, and Synaptic Plasticity in Physiological Conditions and Central Nervous System Disorders - PMC, accessed May 11, 2026,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https://pmc.ncbi.nlm.nih.gov/articles/PMC13054735/</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“don't eat me” signal CD47 is associated with microglial phagocytosis defects and autism-like behaviors in 16p11.2 deletion mice | PNAS, accessed May 11, 2026, </w:t>
      </w:r>
      <w:hyperlink r:id="rId59">
        <w:r w:rsidDel="00000000" w:rsidR="00000000" w:rsidRPr="00000000">
          <w:rPr>
            <w:rFonts w:ascii="Google Sans" w:cs="Google Sans" w:eastAsia="Google Sans" w:hAnsi="Google Sans"/>
            <w:color w:val="0000ee"/>
            <w:sz w:val="24"/>
            <w:szCs w:val="24"/>
            <w:u w:val="single"/>
            <w:rtl w:val="0"/>
          </w:rPr>
          <w:t xml:space="preserve">https://www.pnas.org/doi/10.1073/pnas.2411080122</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Strategies and Tools for Studying Microglial-Mediated Synapse Elimination and Refinement, accessed May 11, 2026, </w:t>
      </w:r>
      <w:hyperlink r:id="rId60">
        <w:r w:rsidDel="00000000" w:rsidR="00000000" w:rsidRPr="00000000">
          <w:rPr>
            <w:rFonts w:ascii="Google Sans" w:cs="Google Sans" w:eastAsia="Google Sans" w:hAnsi="Google Sans"/>
            <w:color w:val="0000ee"/>
            <w:sz w:val="24"/>
            <w:szCs w:val="24"/>
            <w:u w:val="single"/>
            <w:rtl w:val="0"/>
          </w:rPr>
          <w:t xml:space="preserve">https://www.frontiersin.org/journals/immunology/articles/10.3389/fimmu.2021.640937/full</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Microglial Pruning: Relevance for Synaptic Dysfunction in Multiple Sclerosis and Related Experimental Models - MDPI, accessed May 11, 2026, </w:t>
      </w:r>
      <w:hyperlink r:id="rId61">
        <w:r w:rsidDel="00000000" w:rsidR="00000000" w:rsidRPr="00000000">
          <w:rPr>
            <w:rFonts w:ascii="Google Sans" w:cs="Google Sans" w:eastAsia="Google Sans" w:hAnsi="Google Sans"/>
            <w:color w:val="0000ee"/>
            <w:sz w:val="24"/>
            <w:szCs w:val="24"/>
            <w:u w:val="single"/>
            <w:rtl w:val="0"/>
          </w:rPr>
          <w:t xml:space="preserve">https://www.mdpi.com/2073-4409/10/3/686</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Molecular mechanisms underlying microglial sensing and phagocytosis in synaptic pruning - PMC, accessed May 11, 2026, </w:t>
      </w:r>
      <w:hyperlink r:id="rId62">
        <w:r w:rsidDel="00000000" w:rsidR="00000000" w:rsidRPr="00000000">
          <w:rPr>
            <w:rFonts w:ascii="Google Sans" w:cs="Google Sans" w:eastAsia="Google Sans" w:hAnsi="Google Sans"/>
            <w:color w:val="0000ee"/>
            <w:sz w:val="24"/>
            <w:szCs w:val="24"/>
            <w:u w:val="single"/>
            <w:rtl w:val="0"/>
          </w:rPr>
          <w:t xml:space="preserve">https://pmc.ncbi.nlm.nih.gov/articles/PMC11467947/</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Influence of Microglia on Neuroplasticity and Long-Term Cognitive Sequelae in Long COVID: Impacts on Brain Development and Beyond - MDPI, accessed May 11, 2026, </w:t>
      </w:r>
      <w:hyperlink r:id="rId63">
        <w:r w:rsidDel="00000000" w:rsidR="00000000" w:rsidRPr="00000000">
          <w:rPr>
            <w:rFonts w:ascii="Google Sans" w:cs="Google Sans" w:eastAsia="Google Sans" w:hAnsi="Google Sans"/>
            <w:color w:val="0000ee"/>
            <w:sz w:val="24"/>
            <w:szCs w:val="24"/>
            <w:u w:val="single"/>
            <w:rtl w:val="0"/>
          </w:rPr>
          <w:t xml:space="preserve">https://www.mdpi.com/1422-0067/25/7/3819</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Complement C1q-mediated microglial synaptic elimination by enhancing desialylation underlies sevoflurane-induced developmental neurotoxicity - PMC, accessed May 11, 2026, </w:t>
      </w:r>
      <w:hyperlink r:id="rId64">
        <w:r w:rsidDel="00000000" w:rsidR="00000000" w:rsidRPr="00000000">
          <w:rPr>
            <w:rFonts w:ascii="Google Sans" w:cs="Google Sans" w:eastAsia="Google Sans" w:hAnsi="Google Sans"/>
            <w:color w:val="0000ee"/>
            <w:sz w:val="24"/>
            <w:szCs w:val="24"/>
            <w:u w:val="single"/>
            <w:rtl w:val="0"/>
          </w:rPr>
          <w:t xml:space="preserve">https://pmc.ncbi.nlm.nih.gov/articles/PMC10983687/</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Layer Stacking: Open Mythos and the Recurrent Hypothesis : r/BlackboxAI_ - Reddit, accessed May 11, 2026, </w:t>
      </w:r>
      <w:hyperlink r:id="rId65">
        <w:r w:rsidDel="00000000" w:rsidR="00000000" w:rsidRPr="00000000">
          <w:rPr>
            <w:rFonts w:ascii="Google Sans" w:cs="Google Sans" w:eastAsia="Google Sans" w:hAnsi="Google Sans"/>
            <w:color w:val="0000ee"/>
            <w:sz w:val="24"/>
            <w:szCs w:val="24"/>
            <w:u w:val="single"/>
            <w:rtl w:val="0"/>
          </w:rPr>
          <w:t xml:space="preserve">https://www.reddit.com/r/BlackboxAI_/comments/1ssdph2/beyond_layer_stacking_open_mythos_and_the/</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Mythos and the Dawn of Recurrent Reasoning Depth | 22nd ..., accessed May 11, 2026, </w:t>
      </w:r>
      <w:hyperlink r:id="rId66">
        <w:r w:rsidDel="00000000" w:rsidR="00000000" w:rsidRPr="00000000">
          <w:rPr>
            <w:rFonts w:ascii="Google Sans" w:cs="Google Sans" w:eastAsia="Google Sans" w:hAnsi="Google Sans"/>
            <w:color w:val="0000ee"/>
            <w:sz w:val="24"/>
            <w:szCs w:val="24"/>
            <w:u w:val="single"/>
            <w:rtl w:val="0"/>
          </w:rPr>
          <w:t xml:space="preserve">https://www.colaberry.ai/resources/podcasts/open-mythos-and-the-dawn-of-recurrent-reasoning-depth-22nd-april-2026</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Dual Operator View of Habitual Behavior Reflecting Cortical and Striatal Dynamics | Request PDF - ResearchGate, accessed May 11, 2026, </w:t>
      </w:r>
      <w:hyperlink r:id="rId67">
        <w:r w:rsidDel="00000000" w:rsidR="00000000" w:rsidRPr="00000000">
          <w:rPr>
            <w:rFonts w:ascii="Google Sans" w:cs="Google Sans" w:eastAsia="Google Sans" w:hAnsi="Google Sans"/>
            <w:color w:val="0000ee"/>
            <w:sz w:val="24"/>
            <w:szCs w:val="24"/>
            <w:u w:val="single"/>
            <w:rtl w:val="0"/>
          </w:rPr>
          <w:t xml:space="preserve">https://www.researchgate.net/publication/243966743_A_Dual_Operator_View_of_Habitual_Behavior_Reflecting_Cortical_and_Striatal_Dynamics</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Science - arXiv, accessed May 11, 2026, </w:t>
      </w:r>
      <w:hyperlink r:id="rId68">
        <w:r w:rsidDel="00000000" w:rsidR="00000000" w:rsidRPr="00000000">
          <w:rPr>
            <w:rFonts w:ascii="Google Sans" w:cs="Google Sans" w:eastAsia="Google Sans" w:hAnsi="Google Sans"/>
            <w:color w:val="0000ee"/>
            <w:sz w:val="24"/>
            <w:szCs w:val="24"/>
            <w:u w:val="single"/>
            <w:rtl w:val="0"/>
          </w:rPr>
          <w:t xml:space="preserve">https://www.arxiv.org/list/cs/new?skip=100&amp;show=1000</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PackNet: Adding Multiple Tasks to a Single Network by Iterative Pruning - ResearchGate, accessed May 11, 2026, </w:t>
      </w:r>
      <w:hyperlink r:id="rId69">
        <w:r w:rsidDel="00000000" w:rsidR="00000000" w:rsidRPr="00000000">
          <w:rPr>
            <w:rFonts w:ascii="Google Sans" w:cs="Google Sans" w:eastAsia="Google Sans" w:hAnsi="Google Sans"/>
            <w:color w:val="0000ee"/>
            <w:sz w:val="24"/>
            <w:szCs w:val="24"/>
            <w:u w:val="single"/>
            <w:rtl w:val="0"/>
          </w:rPr>
          <w:t xml:space="preserve">https://www.researchgate.net/publication/329741283_PackNet_Adding_Multiple_Tasks_to_a_Single_Network_by_Iterative_Pruning</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Maya-Manas: Oscillatory Thalamo-Cortical Gating for Class- Incremental Learning in Affective Spiking Neural Networks - ResearchGate, accessed May 11, 2026, </w:t>
      </w:r>
      <w:hyperlink r:id="rId70">
        <w:r w:rsidDel="00000000" w:rsidR="00000000" w:rsidRPr="00000000">
          <w:rPr>
            <w:rFonts w:ascii="Google Sans" w:cs="Google Sans" w:eastAsia="Google Sans" w:hAnsi="Google Sans"/>
            <w:color w:val="0000ee"/>
            <w:sz w:val="24"/>
            <w:szCs w:val="24"/>
            <w:u w:val="single"/>
            <w:rtl w:val="0"/>
          </w:rPr>
          <w:t xml:space="preserve">https://www.researchgate.net/publication/403380650_Maya-Manas_Oscillatory_Thalamo-Cortical_Gating_for_Class-_Incremental_Learning_in_Affective_Spiking_Neural_Networks</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Persistent Fear and Anxiety Can Affect Young Children's Learning ..., accessed May 11, 2026, </w:t>
      </w:r>
      <w:hyperlink r:id="rId71">
        <w:r w:rsidDel="00000000" w:rsidR="00000000" w:rsidRPr="00000000">
          <w:rPr>
            <w:rFonts w:ascii="Google Sans" w:cs="Google Sans" w:eastAsia="Google Sans" w:hAnsi="Google Sans"/>
            <w:color w:val="0000ee"/>
            <w:sz w:val="24"/>
            <w:szCs w:val="24"/>
            <w:u w:val="single"/>
            <w:rtl w:val="0"/>
          </w:rPr>
          <w:t xml:space="preserve">https://developingchild.harvard.edu/wp-content/uploads/2024/10/Persistent-Fear-and-Anxiety-Can-Affect-Young-Childrens-Learning-and-Development.pdf</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Toxic Stress : What is toxic stress? - Center on the Developing Child at Harvard University, accessed May 11, 2026, </w:t>
      </w:r>
      <w:hyperlink r:id="rId72">
        <w:r w:rsidDel="00000000" w:rsidR="00000000" w:rsidRPr="00000000">
          <w:rPr>
            <w:rFonts w:ascii="Google Sans" w:cs="Google Sans" w:eastAsia="Google Sans" w:hAnsi="Google Sans"/>
            <w:color w:val="0000ee"/>
            <w:sz w:val="24"/>
            <w:szCs w:val="24"/>
            <w:u w:val="single"/>
            <w:rtl w:val="0"/>
          </w:rPr>
          <w:t xml:space="preserve">https://developingchild.harvard.edu/key-concept/toxic-stress/</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toxic stress in children - Texas Children's Hospital, accessed May 11, 2026, </w:t>
      </w:r>
      <w:hyperlink r:id="rId73">
        <w:r w:rsidDel="00000000" w:rsidR="00000000" w:rsidRPr="00000000">
          <w:rPr>
            <w:rFonts w:ascii="Google Sans" w:cs="Google Sans" w:eastAsia="Google Sans" w:hAnsi="Google Sans"/>
            <w:color w:val="0000ee"/>
            <w:sz w:val="24"/>
            <w:szCs w:val="24"/>
            <w:u w:val="single"/>
            <w:rtl w:val="0"/>
          </w:rPr>
          <w:t xml:space="preserve">https://www.texaschildrens.org/content/wellness/impact-toxic-stress-children</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Toxic Stress and the Developing Child | Family Services - Fairfax County, accessed May 11, 2026, </w:t>
      </w:r>
      <w:hyperlink r:id="rId74">
        <w:r w:rsidDel="00000000" w:rsidR="00000000" w:rsidRPr="00000000">
          <w:rPr>
            <w:rFonts w:ascii="Google Sans" w:cs="Google Sans" w:eastAsia="Google Sans" w:hAnsi="Google Sans"/>
            <w:color w:val="0000ee"/>
            <w:sz w:val="24"/>
            <w:szCs w:val="24"/>
            <w:u w:val="single"/>
            <w:rtl w:val="0"/>
          </w:rPr>
          <w:t xml:space="preserve">https://www.fairfaxcounty.gov/familyservices/children-youth/volunteer-partner-services/the-volunteer-post-newsletter/toxic-stress-and-the-developing-child</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Neurobiological programming of early life stress: Functional development of amygdala-prefrontal circuitry and vulnerability for stress-related psychopathology - PMC, accessed May 11, 2026, </w:t>
      </w:r>
      <w:hyperlink r:id="rId75">
        <w:r w:rsidDel="00000000" w:rsidR="00000000" w:rsidRPr="00000000">
          <w:rPr>
            <w:rFonts w:ascii="Google Sans" w:cs="Google Sans" w:eastAsia="Google Sans" w:hAnsi="Google Sans"/>
            <w:color w:val="0000ee"/>
            <w:sz w:val="24"/>
            <w:szCs w:val="24"/>
            <w:u w:val="single"/>
            <w:rtl w:val="0"/>
          </w:rPr>
          <w:t xml:space="preserve">https://pmc.ncbi.nlm.nih.gov/articles/PMC5940575/</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Complex Systems + Systems Engineering = Complex Systems Engineeri - ResearchGate, accessed May 11, 2026, </w:t>
      </w:r>
      <w:hyperlink r:id="rId76">
        <w:r w:rsidDel="00000000" w:rsidR="00000000" w:rsidRPr="00000000">
          <w:rPr>
            <w:rFonts w:ascii="Google Sans" w:cs="Google Sans" w:eastAsia="Google Sans" w:hAnsi="Google Sans"/>
            <w:color w:val="0000ee"/>
            <w:sz w:val="24"/>
            <w:szCs w:val="24"/>
            <w:u w:val="single"/>
            <w:rtl w:val="0"/>
          </w:rPr>
          <w:t xml:space="preserve">https://www.researchgate.net/publication/1959213_Complex_Systems_Systems_Engineering_Complex_Systems_Engineeri</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Emergence Explained: DRAFT. Comments are welcome. - arXiv, accessed May 11, 2026, </w:t>
      </w:r>
      <w:hyperlink r:id="rId77">
        <w:r w:rsidDel="00000000" w:rsidR="00000000" w:rsidRPr="00000000">
          <w:rPr>
            <w:rFonts w:ascii="Google Sans" w:cs="Google Sans" w:eastAsia="Google Sans" w:hAnsi="Google Sans"/>
            <w:color w:val="0000ee"/>
            <w:sz w:val="24"/>
            <w:szCs w:val="24"/>
            <w:u w:val="single"/>
            <w:rtl w:val="0"/>
          </w:rPr>
          <w:t xml:space="preserve">https://arxiv.org/pdf/cs/0602045</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Complex Systems + Systems Engineering = Complex Systems Engineering - arXiv, accessed May 11, 2026, </w:t>
      </w:r>
      <w:hyperlink r:id="rId78">
        <w:r w:rsidDel="00000000" w:rsidR="00000000" w:rsidRPr="00000000">
          <w:rPr>
            <w:rFonts w:ascii="Google Sans" w:cs="Google Sans" w:eastAsia="Google Sans" w:hAnsi="Google Sans"/>
            <w:color w:val="0000ee"/>
            <w:sz w:val="24"/>
            <w:szCs w:val="24"/>
            <w:u w:val="single"/>
            <w:rtl w:val="0"/>
          </w:rPr>
          <w:t xml:space="preserve">https://arxiv.org/pdf/cs/0603127</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Emergence Explained Abstractions 07.16 | PDF | Reductionism - Scribd, accessed May 11, 2026, </w:t>
      </w:r>
      <w:hyperlink r:id="rId79">
        <w:r w:rsidDel="00000000" w:rsidR="00000000" w:rsidRPr="00000000">
          <w:rPr>
            <w:rFonts w:ascii="Google Sans" w:cs="Google Sans" w:eastAsia="Google Sans" w:hAnsi="Google Sans"/>
            <w:color w:val="0000ee"/>
            <w:sz w:val="24"/>
            <w:szCs w:val="24"/>
            <w:u w:val="single"/>
            <w:rtl w:val="0"/>
          </w:rPr>
          <w:t xml:space="preserve">https://www.scribd.com/document/7140779/Emergence-Explained-Abstractions-07-16</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Emergence and Systems Engineering: Putting Complex Systems to Work - ResearchGate, accessed May 11, 2026, </w:t>
      </w:r>
      <w:hyperlink r:id="rId80">
        <w:r w:rsidDel="00000000" w:rsidR="00000000" w:rsidRPr="00000000">
          <w:rPr>
            <w:rFonts w:ascii="Google Sans" w:cs="Google Sans" w:eastAsia="Google Sans" w:hAnsi="Google Sans"/>
            <w:color w:val="0000ee"/>
            <w:sz w:val="24"/>
            <w:szCs w:val="24"/>
            <w:u w:val="single"/>
            <w:rtl w:val="0"/>
          </w:rPr>
          <w:t xml:space="preserve">https://www.researchgate.net/publication/228944677_Emergence_and_Systems_Engineering_Putting_Complex_Systems_to_Work</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Nature to Neutral Networks: AI-Driven Biomimetic Optimization in Architectural Design and Fabrication - MDPI, accessed May 11, 2026, </w:t>
      </w:r>
      <w:hyperlink r:id="rId81">
        <w:r w:rsidDel="00000000" w:rsidR="00000000" w:rsidRPr="00000000">
          <w:rPr>
            <w:rFonts w:ascii="Google Sans" w:cs="Google Sans" w:eastAsia="Google Sans" w:hAnsi="Google Sans"/>
            <w:color w:val="0000ee"/>
            <w:sz w:val="24"/>
            <w:szCs w:val="24"/>
            <w:u w:val="single"/>
            <w:rtl w:val="0"/>
          </w:rPr>
          <w:t xml:space="preserve">https://www.mdpi.com/2071-1050/17/24/11333</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Biomimetic Additive Manufacturing: Engineering Complexity Inspired by Nature's Simplicity, accessed May 11, 2026, </w:t>
      </w:r>
      <w:hyperlink r:id="rId82">
        <w:r w:rsidDel="00000000" w:rsidR="00000000" w:rsidRPr="00000000">
          <w:rPr>
            <w:rFonts w:ascii="Google Sans" w:cs="Google Sans" w:eastAsia="Google Sans" w:hAnsi="Google Sans"/>
            <w:color w:val="0000ee"/>
            <w:sz w:val="24"/>
            <w:szCs w:val="24"/>
            <w:u w:val="single"/>
            <w:rtl w:val="0"/>
          </w:rPr>
          <w:t xml:space="preserve">https://pmc.ncbi.nlm.nih.gov/articles/PMC12292110/</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methodologies and engineering applications for ecosystem biomimicry - National Laboratory of the Rockies, accessed May 11, 2026, </w:t>
      </w:r>
      <w:hyperlink r:id="rId83">
        <w:r w:rsidDel="00000000" w:rsidR="00000000" w:rsidRPr="00000000">
          <w:rPr>
            <w:rFonts w:ascii="Google Sans" w:cs="Google Sans" w:eastAsia="Google Sans" w:hAnsi="Google Sans"/>
            <w:color w:val="0000ee"/>
            <w:sz w:val="24"/>
            <w:szCs w:val="24"/>
            <w:u w:val="single"/>
            <w:rtl w:val="0"/>
          </w:rPr>
          <w:t xml:space="preserve">https://docs.nlr.gov/docs/fy23osti/85371.pdf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ortlandpress.com/bioscirep/article/44/9/BSR20231616/234946/Axonal-neurotransmitter-release-in-the-regulation" TargetMode="External"/><Relationship Id="rId83" Type="http://schemas.openxmlformats.org/officeDocument/2006/relationships/hyperlink" Target="https://docs.nlr.gov/docs/fy23osti/85371.pdf" TargetMode="External"/><Relationship Id="rId42" Type="http://schemas.openxmlformats.org/officeDocument/2006/relationships/hyperlink" Target="https://pmc.ncbi.nlm.nih.gov/articles/PMC6310485/" TargetMode="External"/><Relationship Id="rId41" Type="http://schemas.openxmlformats.org/officeDocument/2006/relationships/hyperlink" Target="https://www.frontiersin.org/journals/cellular-neuroscience/articles/10.3389/fncel.2021.769809/full" TargetMode="External"/><Relationship Id="rId44" Type="http://schemas.openxmlformats.org/officeDocument/2006/relationships/hyperlink" Target="https://pmc.ncbi.nlm.nih.gov/articles/PMC3830599/" TargetMode="External"/><Relationship Id="rId43" Type="http://schemas.openxmlformats.org/officeDocument/2006/relationships/hyperlink" Target="https://pmc.ncbi.nlm.nih.gov/articles/PMC4189115/" TargetMode="External"/><Relationship Id="rId46" Type="http://schemas.openxmlformats.org/officeDocument/2006/relationships/hyperlink" Target="https://www.frontiersin.org/journals/cellular-neuroscience/articles/10.3389/fncel.2024.1422130/full" TargetMode="External"/><Relationship Id="rId45" Type="http://schemas.openxmlformats.org/officeDocument/2006/relationships/hyperlink" Target="https://journals.plos.org/plosbiology/article?id=10.1371/journal.pbio.1001743" TargetMode="External"/><Relationship Id="rId80" Type="http://schemas.openxmlformats.org/officeDocument/2006/relationships/hyperlink" Target="https://www.researchgate.net/publication/228944677_Emergence_and_Systems_Engineering_Putting_Complex_Systems_to_Work" TargetMode="External"/><Relationship Id="rId82" Type="http://schemas.openxmlformats.org/officeDocument/2006/relationships/hyperlink" Target="https://pmc.ncbi.nlm.nih.gov/articles/PMC12292110/" TargetMode="External"/><Relationship Id="rId81" Type="http://schemas.openxmlformats.org/officeDocument/2006/relationships/hyperlink" Target="https://www.mdpi.com/2071-1050/17/24/1133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hyperlink" Target="https://arxiv.org/html/2505.10569v1" TargetMode="External"/><Relationship Id="rId47" Type="http://schemas.openxmlformats.org/officeDocument/2006/relationships/hyperlink" Target="https://pmc.ncbi.nlm.nih.gov/articles/PMC3876980/" TargetMode="External"/><Relationship Id="rId49" Type="http://schemas.openxmlformats.org/officeDocument/2006/relationships/hyperlink" Target="https://www.tandfonline.com/doi/full/10.1177/17590914231163039"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2.png"/><Relationship Id="rId73" Type="http://schemas.openxmlformats.org/officeDocument/2006/relationships/hyperlink" Target="https://www.texaschildrens.org/content/wellness/impact-toxic-stress-children" TargetMode="External"/><Relationship Id="rId72" Type="http://schemas.openxmlformats.org/officeDocument/2006/relationships/hyperlink" Target="https://developingchild.harvard.edu/key-concept/toxic-stress/" TargetMode="External"/><Relationship Id="rId31" Type="http://schemas.openxmlformats.org/officeDocument/2006/relationships/hyperlink" Target="https://arxiv.org/html/2604.07603v1" TargetMode="External"/><Relationship Id="rId75" Type="http://schemas.openxmlformats.org/officeDocument/2006/relationships/hyperlink" Target="https://pmc.ncbi.nlm.nih.gov/articles/PMC5940575/" TargetMode="External"/><Relationship Id="rId30" Type="http://schemas.openxmlformats.org/officeDocument/2006/relationships/hyperlink" Target="https://maurer.ca/dpubs/Maurer_NeonatalSynesthesia.pdf" TargetMode="External"/><Relationship Id="rId74" Type="http://schemas.openxmlformats.org/officeDocument/2006/relationships/hyperlink" Target="https://www.fairfaxcounty.gov/familyservices/children-youth/volunteer-partner-services/the-volunteer-post-newsletter/toxic-stress-and-the-developing-child" TargetMode="External"/><Relationship Id="rId33" Type="http://schemas.openxmlformats.org/officeDocument/2006/relationships/hyperlink" Target="https://ai.stackexchange.com/questions/50392/why-do-overparameterized-neural-networks-generalize-well-despite-being-able-to-p" TargetMode="External"/><Relationship Id="rId77" Type="http://schemas.openxmlformats.org/officeDocument/2006/relationships/hyperlink" Target="https://arxiv.org/pdf/cs/0602045" TargetMode="External"/><Relationship Id="rId32" Type="http://schemas.openxmlformats.org/officeDocument/2006/relationships/hyperlink" Target="https://arxiv.org/abs/2604.07603" TargetMode="External"/><Relationship Id="rId76" Type="http://schemas.openxmlformats.org/officeDocument/2006/relationships/hyperlink" Target="https://www.researchgate.net/publication/1959213_Complex_Systems_Systems_Engineering_Complex_Systems_Engineeri" TargetMode="External"/><Relationship Id="rId35" Type="http://schemas.openxmlformats.org/officeDocument/2006/relationships/hyperlink" Target="https://arxiv.org/abs/2012.13982" TargetMode="External"/><Relationship Id="rId79" Type="http://schemas.openxmlformats.org/officeDocument/2006/relationships/hyperlink" Target="https://www.scribd.com/document/7140779/Emergence-Explained-Abstractions-07-16" TargetMode="External"/><Relationship Id="rId34" Type="http://schemas.openxmlformats.org/officeDocument/2006/relationships/hyperlink" Target="https://ieeexplore.ieee.org/iel7/5/9420072/09326403.pdf" TargetMode="External"/><Relationship Id="rId78" Type="http://schemas.openxmlformats.org/officeDocument/2006/relationships/hyperlink" Target="https://arxiv.org/pdf/cs/0603127" TargetMode="External"/><Relationship Id="rId71" Type="http://schemas.openxmlformats.org/officeDocument/2006/relationships/hyperlink" Target="https://developingchild.harvard.edu/wp-content/uploads/2024/10/Persistent-Fear-and-Anxiety-Can-Affect-Young-Childrens-Learning-and-Development.pdf" TargetMode="External"/><Relationship Id="rId70" Type="http://schemas.openxmlformats.org/officeDocument/2006/relationships/hyperlink" Target="https://www.researchgate.net/publication/403380650_Maya-Manas_Oscillatory_Thalamo-Cortical_Gating_for_Class-_Incremental_Learning_in_Affective_Spiking_Neural_Networks" TargetMode="External"/><Relationship Id="rId37" Type="http://schemas.openxmlformats.org/officeDocument/2006/relationships/hyperlink" Target="https://www.ibm.com/think/topics/catastrophic-forgetting" TargetMode="External"/><Relationship Id="rId36" Type="http://schemas.openxmlformats.org/officeDocument/2006/relationships/hyperlink" Target="https://arxiv.org/pdf/2012.13982" TargetMode="External"/><Relationship Id="rId39" Type="http://schemas.openxmlformats.org/officeDocument/2006/relationships/hyperlink" Target="https://www.jmlr.org/papers/v26/23-0832.html" TargetMode="External"/><Relationship Id="rId38" Type="http://schemas.openxmlformats.org/officeDocument/2006/relationships/hyperlink" Target="https://en.wikipedia.org/wiki/Catastrophic_interference" TargetMode="External"/><Relationship Id="rId62" Type="http://schemas.openxmlformats.org/officeDocument/2006/relationships/hyperlink" Target="https://pmc.ncbi.nlm.nih.gov/articles/PMC11467947/" TargetMode="External"/><Relationship Id="rId61" Type="http://schemas.openxmlformats.org/officeDocument/2006/relationships/hyperlink" Target="https://www.mdpi.com/2073-4409/10/3/686" TargetMode="External"/><Relationship Id="rId20" Type="http://schemas.openxmlformats.org/officeDocument/2006/relationships/hyperlink" Target="https://pubmed.ncbi.nlm.nih.gov/427544/" TargetMode="External"/><Relationship Id="rId64" Type="http://schemas.openxmlformats.org/officeDocument/2006/relationships/hyperlink" Target="https://pmc.ncbi.nlm.nih.gov/articles/PMC10983687/" TargetMode="External"/><Relationship Id="rId63" Type="http://schemas.openxmlformats.org/officeDocument/2006/relationships/hyperlink" Target="https://www.mdpi.com/1422-0067/25/7/3819" TargetMode="External"/><Relationship Id="rId22" Type="http://schemas.openxmlformats.org/officeDocument/2006/relationships/hyperlink" Target="https://pubmed.ncbi.nlm.nih.gov/3583840/" TargetMode="External"/><Relationship Id="rId66" Type="http://schemas.openxmlformats.org/officeDocument/2006/relationships/hyperlink" Target="https://www.colaberry.ai/resources/podcasts/open-mythos-and-the-dawn-of-recurrent-reasoning-depth-22nd-april-2026" TargetMode="External"/><Relationship Id="rId21" Type="http://schemas.openxmlformats.org/officeDocument/2006/relationships/hyperlink" Target="https://pubmed.ncbi.nlm.nih.gov/9336221/" TargetMode="External"/><Relationship Id="rId65" Type="http://schemas.openxmlformats.org/officeDocument/2006/relationships/hyperlink" Target="https://www.reddit.com/r/BlackboxAI_/comments/1ssdph2/beyond_layer_stacking_open_mythos_and_the/" TargetMode="External"/><Relationship Id="rId24" Type="http://schemas.openxmlformats.org/officeDocument/2006/relationships/hyperlink" Target="https://www.uchicagomedicine.org/forefront/news/connections-in-brain-provide-clues-to-learning" TargetMode="External"/><Relationship Id="rId68" Type="http://schemas.openxmlformats.org/officeDocument/2006/relationships/hyperlink" Target="https://www.arxiv.org/list/cs/new?skip=100&amp;show=1000" TargetMode="External"/><Relationship Id="rId23" Type="http://schemas.openxmlformats.org/officeDocument/2006/relationships/hyperlink" Target="https://pmc.ncbi.nlm.nih.gov/articles/PMC3055433/" TargetMode="External"/><Relationship Id="rId67" Type="http://schemas.openxmlformats.org/officeDocument/2006/relationships/hyperlink" Target="https://www.researchgate.net/publication/243966743_A_Dual_Operator_View_of_Habitual_Behavior_Reflecting_Cortical_and_Striatal_Dynamics" TargetMode="External"/><Relationship Id="rId60" Type="http://schemas.openxmlformats.org/officeDocument/2006/relationships/hyperlink" Target="https://www.frontiersin.org/journals/immunology/articles/10.3389/fimmu.2021.640937/full" TargetMode="External"/><Relationship Id="rId26" Type="http://schemas.openxmlformats.org/officeDocument/2006/relationships/hyperlink" Target="https://www.pnas.org/doi/10.1073/pnas.1301224110" TargetMode="External"/><Relationship Id="rId25" Type="http://schemas.openxmlformats.org/officeDocument/2006/relationships/hyperlink" Target="https://avesis.metu.edu.tr/yayin/a32aecf2-bcea-4ed0-9a4a-55c1b6c03be6/extension-of-cortical-synaptic-development-distinguishes-humans-from-chimpanzees-and-macaques/document.pdf" TargetMode="External"/><Relationship Id="rId69" Type="http://schemas.openxmlformats.org/officeDocument/2006/relationships/hyperlink" Target="https://www.researchgate.net/publication/329741283_PackNet_Adding_Multiple_Tasks_to_a_Single_Network_by_Iterative_Pruning" TargetMode="External"/><Relationship Id="rId28" Type="http://schemas.openxmlformats.org/officeDocument/2006/relationships/hyperlink" Target="https://www.maurer.ca/dpubs/Maurer_NeonatalSynesthesia.pdf" TargetMode="External"/><Relationship Id="rId27" Type="http://schemas.openxmlformats.org/officeDocument/2006/relationships/hyperlink" Target="https://journalpsyche.org/articles/0xc0b3.pdf" TargetMode="External"/><Relationship Id="rId29" Type="http://schemas.openxmlformats.org/officeDocument/2006/relationships/hyperlink" Target="https://apcz.umk.pl/THS/article/download/ths-2013-0010/3528/11445" TargetMode="External"/><Relationship Id="rId51" Type="http://schemas.openxmlformats.org/officeDocument/2006/relationships/hyperlink" Target="https://www.ahajournals.org/doi/10.1161/STROKEAHA.124.049265?doi=10.1161/STROKEAHA.124.049265" TargetMode="External"/><Relationship Id="rId50" Type="http://schemas.openxmlformats.org/officeDocument/2006/relationships/hyperlink" Target="https://www.pnas.org/doi/10.1073/pnas.1916646117" TargetMode="External"/><Relationship Id="rId53" Type="http://schemas.openxmlformats.org/officeDocument/2006/relationships/hyperlink" Target="https://pmc.ncbi.nlm.nih.gov/articles/PMC12500284/" TargetMode="External"/><Relationship Id="rId52" Type="http://schemas.openxmlformats.org/officeDocument/2006/relationships/hyperlink" Target="https://pmc.ncbi.nlm.nih.gov/articles/PMC8134244/" TargetMode="External"/><Relationship Id="rId11" Type="http://schemas.openxmlformats.org/officeDocument/2006/relationships/image" Target="media/image3.png"/><Relationship Id="rId55" Type="http://schemas.openxmlformats.org/officeDocument/2006/relationships/hyperlink" Target="https://www.pnas.org/doi/10.1073/pnas.1722613115" TargetMode="External"/><Relationship Id="rId10" Type="http://schemas.openxmlformats.org/officeDocument/2006/relationships/image" Target="media/image1.png"/><Relationship Id="rId54" Type="http://schemas.openxmlformats.org/officeDocument/2006/relationships/hyperlink" Target="https://academic.oup.com/cercor/article/33/21/10750/7275621" TargetMode="External"/><Relationship Id="rId13" Type="http://schemas.openxmlformats.org/officeDocument/2006/relationships/image" Target="media/image6.png"/><Relationship Id="rId57" Type="http://schemas.openxmlformats.org/officeDocument/2006/relationships/hyperlink" Target="https://pmc.ncbi.nlm.nih.gov/articles/PMC11406843/" TargetMode="External"/><Relationship Id="rId12" Type="http://schemas.openxmlformats.org/officeDocument/2006/relationships/image" Target="media/image4.png"/><Relationship Id="rId56" Type="http://schemas.openxmlformats.org/officeDocument/2006/relationships/hyperlink" Target="https://pmc.ncbi.nlm.nih.gov/articles/PMC8530121/" TargetMode="External"/><Relationship Id="rId15" Type="http://schemas.openxmlformats.org/officeDocument/2006/relationships/image" Target="media/image13.png"/><Relationship Id="rId59" Type="http://schemas.openxmlformats.org/officeDocument/2006/relationships/hyperlink" Target="https://www.pnas.org/doi/10.1073/pnas.2411080122" TargetMode="External"/><Relationship Id="rId14" Type="http://schemas.openxmlformats.org/officeDocument/2006/relationships/image" Target="media/image8.png"/><Relationship Id="rId58" Type="http://schemas.openxmlformats.org/officeDocument/2006/relationships/hyperlink" Target="https://pmc.ncbi.nlm.nih.gov/articles/PMC13054735/" TargetMode="External"/><Relationship Id="rId17" Type="http://schemas.openxmlformats.org/officeDocument/2006/relationships/image" Target="media/image11.png"/><Relationship Id="rId16" Type="http://schemas.openxmlformats.org/officeDocument/2006/relationships/image" Target="media/image9.png"/><Relationship Id="rId19" Type="http://schemas.openxmlformats.org/officeDocument/2006/relationships/hyperlink" Target="https://pubmed.ncbi.nlm.nih.gov/6731486/" TargetMode="External"/><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