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highlight w:val="none"/>
        </w:rPr>
      </w:pPr>
      <w:r>
        <w:rPr>
          <w:b/>
          <w:sz w:val="40"/>
        </w:rPr>
        <w:t xml:space="preserve">Ист лекция 3</w:t>
      </w: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jc w:val="center"/>
        <w:rPr>
          <w:highlight w:val="none"/>
        </w:rPr>
      </w:pPr>
      <w:r>
        <w:rPr>
          <w:sz w:val="36"/>
          <w:highlight w:val="none"/>
          <w:u w:val="single"/>
        </w:rPr>
        <w:t xml:space="preserve">Информационные технологии в образовании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Изменение законодательства для образования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Геймификация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Микрообучение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Чат-боты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Обучение через социальные сети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Техническая основа электронного обучения: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Учебный контент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Новые формы подачи контента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Система обмена информацией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Сервисы вебинаров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Внедрение сторонних онлайн-курсов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2022-03-03T07:23:14Z</dcterms:modified>
</cp:coreProperties>
</file>