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120" w:before="480"/>
        <w:jc w:val="center"/>
      </w:pPr>
      <w:r>
        <w:rPr>
          <w:rFonts w:ascii="Arial" w:cs="Arial" w:eastAsia="Arial" w:hAnsi="Arial"/>
          <w:b/>
          <w:bCs/>
          <w:color w:val="1F4E8C"/>
          <w:sz w:val="48"/>
          <w:szCs w:val="48"/>
        </w:rPr>
        <w:t xml:space="preserve">OSA OBSERVATORY</w:t>
      </w:r>
    </w:p>
    <w:p>
      <w:pPr>
        <w:spacing w:after="240" w:before="0"/>
        <w:jc w:val="center"/>
      </w:pPr>
      <w:r>
        <w:rPr>
          <w:rFonts w:ascii="Arial" w:cs="Arial" w:eastAsia="Arial" w:hAnsi="Arial"/>
          <w:color w:val="595959"/>
          <w:sz w:val="28"/>
          <w:szCs w:val="28"/>
        </w:rPr>
        <w:t xml:space="preserve">Observatoire de la Souverainete Africaine</w:t>
      </w:r>
    </w:p>
    <w:p>
      <w:pPr>
        <w:pBdr>
          <w:bottom w:val="single" w:color="1F4E8C" w:sz="6" w:space="1"/>
        </w:pBdr>
        <w:spacing w:after="120" w:before="120"/>
      </w:pPr>
    </w:p>
    <w:p>
      <w:pPr>
        <w:spacing w:after="120" w:before="240"/>
        <w:jc w:val="center"/>
      </w:pPr>
      <w:r>
        <w:rPr>
          <w:rFonts w:ascii="Arial" w:cs="Arial" w:eastAsia="Arial" w:hAnsi="Arial"/>
          <w:b/>
          <w:bCs/>
          <w:color w:val="1F4E8C"/>
          <w:sz w:val="40"/>
          <w:szCs w:val="40"/>
        </w:rPr>
        <w:t xml:space="preserve">DECISION DOCTRINALE — SPRINT 27</w:t>
      </w:r>
    </w:p>
    <w:p>
      <w:pPr>
        <w:spacing w:after="120" w:before="0"/>
        <w:jc w:val="center"/>
      </w:pPr>
      <w:r>
        <w:rPr>
          <w:rFonts w:ascii="Arial" w:cs="Arial" w:eastAsia="Arial" w:hAnsi="Arial"/>
          <w:b/>
          <w:bCs/>
          <w:color w:val="B45309"/>
          <w:sz w:val="28"/>
          <w:szCs w:val="28"/>
        </w:rPr>
        <w:t xml:space="preserve">Indicateurs d'Observation Souveraine Autonome (IOSA)</w:t>
      </w:r>
    </w:p>
    <w:p>
      <w:pPr>
        <w:spacing w:after="0" w:before="0"/>
        <w:jc w:val="center"/>
      </w:pPr>
      <w:r>
        <w:rPr>
          <w:rFonts w:ascii="Arial" w:cs="Arial" w:eastAsia="Arial" w:hAnsi="Arial"/>
          <w:color w:val="595959"/>
          <w:sz w:val="22"/>
          <w:szCs w:val="22"/>
        </w:rPr>
        <w:t xml:space="preserve">Institution d'une nouvelle classe d'indicateurs : non comparatifs,</w:t>
      </w:r>
    </w:p>
    <w:p>
      <w:pPr>
        <w:spacing w:after="480" w:before="0"/>
        <w:jc w:val="center"/>
      </w:pPr>
      <w:r>
        <w:rPr>
          <w:rFonts w:ascii="Arial" w:cs="Arial" w:eastAsia="Arial" w:hAnsi="Arial"/>
          <w:color w:val="595959"/>
          <w:sz w:val="22"/>
          <w:szCs w:val="22"/>
        </w:rPr>
        <w:t xml:space="preserve">non imputables, pays-specifiques, auditables</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tblGrid>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Date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23 juin 2026</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Sprint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27 (preparation en Sprint 26)</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Auteur</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Conseil technique OSA</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Statut</w:t>
            </w:r>
          </w:p>
        </w:tc>
        <w:tc>
          <w:tcPr>
            <w:tcW w:type="dxa" w:w="450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r>
              <w:rPr>
                <w:rFonts w:ascii="Arial" w:cs="Arial" w:eastAsia="Arial" w:hAnsi="Arial"/>
                <w:b/>
                <w:bCs/>
                <w:color w:val="1E6B3C"/>
                <w:sz w:val="20"/>
                <w:szCs w:val="20"/>
              </w:rPr>
              <w:t xml:space="preserve">ADOPTEE — a appliquer en base Sprint 27</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Finding GAF</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finding #30 IOSA_CLASS_CREATION (ORIENTED)</w:t>
            </w:r>
          </w:p>
        </w:tc>
      </w:tr>
    </w:tbl>
    <w:p>
      <w:r>
        <w:br w:type="page"/>
      </w:r>
    </w:p>
    <w:p>
      <w:pPr>
        <w:pStyle w:val="Heading1"/>
        <w:spacing w:after="200" w:before="360"/>
      </w:pPr>
      <w:r>
        <w:rPr>
          <w:rFonts w:ascii="Arial" w:cs="Arial" w:eastAsia="Arial" w:hAnsi="Arial"/>
          <w:b/>
          <w:bCs/>
          <w:color w:val="1F4E8C"/>
          <w:sz w:val="32"/>
          <w:szCs w:val="32"/>
        </w:rPr>
        <w:t xml:space="preserve">1. Contexte et motivation doctrinale</w:t>
      </w:r>
    </w:p>
    <w:p>
      <w:pPr>
        <w:spacing w:after="60" w:before="60"/>
      </w:pPr>
      <w:r>
        <w:rPr>
          <w:rFonts w:ascii="Arial" w:cs="Arial" w:eastAsia="Arial" w:hAnsi="Arial"/>
          <w:b w:val="false"/>
          <w:bCs w:val="false"/>
          <w:sz w:val="22"/>
          <w:szCs w:val="22"/>
        </w:rPr>
        <w:t xml:space="preserve">La doctrine OSA repose sur le principe P7E : observation comportementale pure, primaire, auditable. Chaque indicateur ISA mesure une realite observable, geolocalisable, datable — jamais une perception, jamais une estimation d'expert.</w:t>
      </w:r>
    </w:p>
    <w:p>
      <w:pPr>
        <w:spacing w:after="80" w:before="80"/>
      </w:pPr>
      <w:r>
        <w:t xml:space="preserve"/>
      </w:r>
    </w:p>
    <w:p>
      <w:pPr>
        <w:spacing w:after="60" w:before="60"/>
      </w:pPr>
      <w:r>
        <w:rPr>
          <w:rFonts w:ascii="Arial" w:cs="Arial" w:eastAsia="Arial" w:hAnsi="Arial"/>
          <w:b w:val="false"/>
          <w:bCs w:val="false"/>
          <w:sz w:val="22"/>
          <w:szCs w:val="22"/>
        </w:rPr>
        <w:t xml:space="preserve">Au cours des Sprints 21 a 26, trois indicateurs ont ete developpes, collectes et calcules, mais maintenus hors du calcul ISA :</w:t>
      </w:r>
    </w:p>
    <w:p>
      <w:pPr>
        <w:pStyle w:val="ListParagraph"/>
        <w:numPr>
          <w:ilvl w:val="0"/>
          <w:numId w:val="2"/>
        </w:numPr>
        <w:spacing w:after="40" w:before="40"/>
      </w:pPr>
      <w:r>
        <w:rPr>
          <w:rFonts w:ascii="Arial" w:cs="Arial" w:eastAsia="Arial" w:hAnsi="Arial"/>
          <w:sz w:val="22"/>
          <w:szCs w:val="22"/>
        </w:rPr>
        <w:t xml:space="preserve">PHUM_VALUE_CAPTURE : score de retention du capital humain (WB)</w:t>
      </w:r>
    </w:p>
    <w:p>
      <w:pPr>
        <w:pStyle w:val="ListParagraph"/>
        <w:numPr>
          <w:ilvl w:val="0"/>
          <w:numId w:val="2"/>
        </w:numPr>
        <w:spacing w:after="40" w:before="40"/>
      </w:pPr>
      <w:r>
        <w:rPr>
          <w:rFonts w:ascii="Arial" w:cs="Arial" w:eastAsia="Arial" w:hAnsi="Arial"/>
          <w:sz w:val="22"/>
          <w:szCs w:val="22"/>
        </w:rPr>
        <w:t xml:space="preserve">PMIN_VALUE_LEAKAGE : fuite de valeur ajoutee minerale (BACI/CEPII)</w:t>
      </w:r>
    </w:p>
    <w:p>
      <w:pPr>
        <w:pStyle w:val="ListParagraph"/>
        <w:numPr>
          <w:ilvl w:val="0"/>
          <w:numId w:val="2"/>
        </w:numPr>
        <w:spacing w:after="40" w:before="40"/>
      </w:pPr>
      <w:r>
        <w:rPr>
          <w:rFonts w:ascii="Arial" w:cs="Arial" w:eastAsia="Arial" w:hAnsi="Arial"/>
          <w:sz w:val="22"/>
          <w:szCs w:val="22"/>
        </w:rPr>
        <w:t xml:space="preserve">PMIN_SMUGGLING_SIGNAL_RANK : signal ordinal de contrebande miniere (BACI x USGS)</w:t>
      </w:r>
    </w:p>
    <w:p>
      <w:pPr>
        <w:spacing w:after="80" w:before="80"/>
      </w:pPr>
      <w:r>
        <w:t xml:space="preserve"/>
      </w:r>
    </w:p>
    <w:p>
      <w:pPr>
        <w:spacing w:after="60" w:before="60"/>
      </w:pPr>
      <w:r>
        <w:rPr>
          <w:rFonts w:ascii="Arial" w:cs="Arial" w:eastAsia="Arial" w:hAnsi="Arial"/>
          <w:b w:val="false"/>
          <w:bCs w:val="false"/>
          <w:sz w:val="22"/>
          <w:szCs w:val="22"/>
        </w:rPr>
        <w:t xml:space="preserve">Ces indicateurs ont ete maintenus hors ISA non par omission, mais parce qu''ils ne repondent pas aux criteres de comparabilite inter-pays requis par le calcul ISA. La presente decision formalise cette exclusion et institue une nouvelle classe doctrinale.</w:t>
      </w:r>
    </w:p>
    <w:p>
      <w:pPr>
        <w:spacing w:after="80" w:before="80"/>
      </w:pPr>
      <w:r>
        <w:t xml:space="preserve"/>
      </w:r>
    </w:p>
    <w:p>
      <w:pPr>
        <w:pStyle w:val="Heading1"/>
        <w:spacing w:after="200" w:before="360"/>
      </w:pPr>
      <w:r>
        <w:rPr>
          <w:rFonts w:ascii="Arial" w:cs="Arial" w:eastAsia="Arial" w:hAnsi="Arial"/>
          <w:b/>
          <w:bCs/>
          <w:color w:val="1F4E8C"/>
          <w:sz w:val="32"/>
          <w:szCs w:val="32"/>
        </w:rPr>
        <w:t xml:space="preserve">2. Principe doctrinal — Non-comparabilite souveraine</w:t>
      </w:r>
    </w:p>
    <w:p>
      <w:pPr>
        <w:spacing w:after="60" w:before="60"/>
      </w:pPr>
      <w:r>
        <w:rPr>
          <w:rFonts w:ascii="Arial" w:cs="Arial" w:eastAsia="Arial" w:hAnsi="Arial"/>
          <w:b w:val="false"/>
          <w:bCs w:val="false"/>
          <w:sz w:val="22"/>
          <w:szCs w:val="22"/>
        </w:rPr>
        <w:t xml:space="preserve">Un score ISA est concu pour etre compare entre pays. La normalisation min-max, les bornes rf.normalization_bounds, les poids indicator_meta_links — toute l''architecture ISA est construite pour produire un classement souverain opposable.</w:t>
      </w:r>
    </w:p>
    <w:p>
      <w:pPr>
        <w:spacing w:after="80" w:before="80"/>
      </w:pPr>
      <w:r>
        <w:t xml:space="preserve"/>
      </w:r>
    </w:p>
    <w:p>
      <w:pPr>
        <w:spacing w:after="60" w:before="60"/>
      </w:pPr>
      <w:r>
        <w:rPr>
          <w:rFonts w:ascii="Arial" w:cs="Arial" w:eastAsia="Arial" w:hAnsi="Arial"/>
          <w:b w:val="false"/>
          <w:bCs w:val="false"/>
          <w:sz w:val="22"/>
          <w:szCs w:val="22"/>
        </w:rPr>
        <w:t xml:space="preserve">Les indicateurs IOSA refusent cette logique pour une raison doctrinale fondamentale :</w:t>
      </w:r>
    </w:p>
    <w:p>
      <w:pPr>
        <w:spacing w:after="80" w:before="80"/>
      </w:pPr>
      <w:r>
        <w:t xml:space="preserve"/>
      </w:r>
    </w:p>
    <w:p>
      <w:pPr>
        <w:pStyle w:val="Heading3"/>
        <w:spacing w:after="120" w:before="200"/>
      </w:pPr>
      <w:r>
        <w:rPr>
          <w:rFonts w:ascii="Arial" w:cs="Arial" w:eastAsia="Arial" w:hAnsi="Arial"/>
          <w:b/>
          <w:bCs/>
          <w:color w:val="595959"/>
          <w:sz w:val="22"/>
          <w:szCs w:val="22"/>
        </w:rPr>
        <w:t xml:space="preserve">2.1 Causalite non reductible</w:t>
      </w:r>
    </w:p>
    <w:p>
      <w:pPr>
        <w:spacing w:after="60" w:before="60"/>
      </w:pPr>
      <w:r>
        <w:rPr>
          <w:rFonts w:ascii="Arial" w:cs="Arial" w:eastAsia="Arial" w:hAnsi="Arial"/>
          <w:b w:val="false"/>
          <w:bCs w:val="false"/>
          <w:sz w:val="22"/>
          <w:szCs w:val="22"/>
        </w:rPr>
        <w:t xml:space="preserve">La fuite de capital humain d''un pays n''est pas comparable a celle d''un autre pays. Un medecin quitte le Senegal pour des raisons salariales et de perspectives academiques. Un medecin quitte la RDC pour des raisons securitaires. Le score PHUM_VALUE_CAPTURE de 45 pour le Senegal ne dit rien sur le Cameroun. La comparaison serait doctrinalement invalide.</w:t>
      </w:r>
    </w:p>
    <w:p>
      <w:pPr>
        <w:spacing w:after="80" w:before="80"/>
      </w:pPr>
      <w:r>
        <w:t xml:space="preserve"/>
      </w:r>
    </w:p>
    <w:p>
      <w:pPr>
        <w:spacing w:after="60" w:before="60"/>
      </w:pPr>
      <w:r>
        <w:rPr>
          <w:rFonts w:ascii="Arial" w:cs="Arial" w:eastAsia="Arial" w:hAnsi="Arial"/>
          <w:b w:val="false"/>
          <w:bCs w:val="false"/>
          <w:sz w:val="22"/>
          <w:szCs w:val="22"/>
        </w:rPr>
        <w:t xml:space="preserve">De meme, PMIN_VALUE_LEAKAGE a 30 pour le Congo-Brazzaville ne se compare pas au Niger. La structure miniere, le tissu industriel, l''histoire concessionnaire de chaque pays sont des contextes souverains irreductibles.</w:t>
      </w:r>
    </w:p>
    <w:p>
      <w:pPr>
        <w:spacing w:after="80" w:before="80"/>
      </w:pPr>
      <w:r>
        <w:t xml:space="preserve"/>
      </w:r>
    </w:p>
    <w:p>
      <w:pPr>
        <w:pStyle w:val="Heading3"/>
        <w:spacing w:after="120" w:before="200"/>
      </w:pPr>
      <w:r>
        <w:rPr>
          <w:rFonts w:ascii="Arial" w:cs="Arial" w:eastAsia="Arial" w:hAnsi="Arial"/>
          <w:b/>
          <w:bCs/>
          <w:color w:val="595959"/>
          <w:sz w:val="22"/>
          <w:szCs w:val="22"/>
        </w:rPr>
        <w:t xml:space="preserve">2.2 Serie non homogene — non imputable</w:t>
      </w:r>
    </w:p>
    <w:p>
      <w:pPr>
        <w:spacing w:after="60" w:before="60"/>
      </w:pPr>
      <w:r>
        <w:rPr>
          <w:rFonts w:ascii="Arial" w:cs="Arial" w:eastAsia="Arial" w:hAnsi="Arial"/>
          <w:b w:val="false"/>
          <w:bCs w:val="false"/>
          <w:sz w:val="22"/>
          <w:szCs w:val="22"/>
        </w:rPr>
        <w:t xml:space="preserve">PMIN_SMUGGLING_SIGNAL_RANK couvre 37 pays sur 2016-2021 uniquement. Cette couverture partielle n''est pas un defaut a corriger par imputation MICE — c''est une realite de la disponibilite des donnees BACI/USGS. Imputer les valeurs manquantes introduirait une fabrication de signal la ou l''absence de donnee est elle-meme une information souveraine.</w:t>
      </w:r>
    </w:p>
    <w:p>
      <w:pPr>
        <w:spacing w:after="80" w:before="80"/>
      </w:pPr>
      <w:r>
        <w:t xml:space="preserve"/>
      </w:r>
    </w:p>
    <w:p>
      <w:pPr>
        <w:spacing w:after="60" w:before="60"/>
      </w:pPr>
      <w:r>
        <w:rPr>
          <w:rFonts w:ascii="Arial" w:cs="Arial" w:eastAsia="Arial" w:hAnsi="Arial"/>
          <w:b w:val="false"/>
          <w:bCs w:val="false"/>
          <w:sz w:val="22"/>
          <w:szCs w:val="22"/>
        </w:rPr>
        <w:t xml:space="preserve">La non-imputation L2 est donc une decision doctrinale, pas une limitation technique.</w:t>
      </w:r>
    </w:p>
    <w:p>
      <w:pPr>
        <w:spacing w:after="80" w:before="80"/>
      </w:pPr>
      <w:r>
        <w:t xml:space="preserve"/>
      </w:r>
    </w:p>
    <w:p>
      <w:pPr>
        <w:pStyle w:val="Heading3"/>
        <w:spacing w:after="120" w:before="200"/>
      </w:pPr>
      <w:r>
        <w:rPr>
          <w:rFonts w:ascii="Arial" w:cs="Arial" w:eastAsia="Arial" w:hAnsi="Arial"/>
          <w:b/>
          <w:bCs/>
          <w:color w:val="595959"/>
          <w:sz w:val="22"/>
          <w:szCs w:val="22"/>
        </w:rPr>
        <w:t xml:space="preserve">2.3 Observation pure — pas d''alerte</w:t>
      </w:r>
    </w:p>
    <w:p>
      <w:pPr>
        <w:spacing w:after="60" w:before="60"/>
      </w:pPr>
      <w:r>
        <w:rPr>
          <w:rFonts w:ascii="Arial" w:cs="Arial" w:eastAsia="Arial" w:hAnsi="Arial"/>
          <w:b w:val="false"/>
          <w:bCs w:val="false"/>
          <w:sz w:val="22"/>
          <w:szCs w:val="22"/>
        </w:rPr>
        <w:t xml:space="preserve">Ces indicateurs ne sont pas des signaux d''alerte. PMIN_VALUE_LEAKAGE peut refleter une economie de conflit — mais aussi une faiblesse industrielle structurelle, une dependance aux multinationales extractives, ou une absence de capacite de transformation locale. Forcer cet indicateur dans AMAR ou GENECO introduirait un biais causal non justifie doctrinalement.</w:t>
      </w:r>
    </w:p>
    <w:p>
      <w:pPr>
        <w:spacing w:after="80" w:before="80"/>
      </w:pPr>
      <w:r>
        <w:t xml:space="preserve"/>
      </w:r>
    </w:p>
    <w:p>
      <w:pPr>
        <w:spacing w:after="60" w:before="60"/>
      </w:pPr>
      <w:r>
        <w:rPr>
          <w:rFonts w:ascii="Arial" w:cs="Arial" w:eastAsia="Arial" w:hAnsi="Arial"/>
          <w:b w:val="false"/>
          <w:bCs w:val="false"/>
          <w:sz w:val="22"/>
          <w:szCs w:val="22"/>
        </w:rPr>
        <w:t xml:space="preserve">Ces indicateurs observent sans qualifier. L''interpretation causale est deliberement laissee ouverte — c''est leur force analytique.</w:t>
      </w:r>
    </w:p>
    <w:p>
      <w:pPr>
        <w:spacing w:after="80" w:before="80"/>
      </w:pPr>
      <w:r>
        <w:t xml:space="preserve"/>
      </w:r>
    </w:p>
    <w:p>
      <w:pPr>
        <w:pStyle w:val="Heading1"/>
        <w:spacing w:after="200" w:before="360"/>
      </w:pPr>
      <w:r>
        <w:rPr>
          <w:rFonts w:ascii="Arial" w:cs="Arial" w:eastAsia="Arial" w:hAnsi="Arial"/>
          <w:b/>
          <w:bCs/>
          <w:color w:val="1F4E8C"/>
          <w:sz w:val="32"/>
          <w:szCs w:val="32"/>
        </w:rPr>
        <w:t xml:space="preserve">3. Definition de la classe IOSA</w:t>
      </w:r>
    </w:p>
    <w:p>
      <w:pPr>
        <w:spacing w:after="60" w:before="60"/>
      </w:pPr>
      <w:r>
        <w:rPr>
          <w:rFonts w:ascii="Arial" w:cs="Arial" w:eastAsia="Arial" w:hAnsi="Arial"/>
          <w:b w:val="false"/>
          <w:bCs w:val="false"/>
          <w:sz w:val="22"/>
          <w:szCs w:val="22"/>
        </w:rPr>
        <w:t xml:space="preserve">Un indicateur appartient a la classe IOSA (Indicateur d''Observation Souveraine Autonome) s''il satisfait l''ensemble des criteres suivants :</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000000"/>
                <w:sz w:val="20"/>
                <w:szCs w:val="20"/>
              </w:rPr>
              <w:t xml:space="preserve">Critere</w:t>
            </w:r>
          </w:p>
        </w:tc>
        <w:tc>
          <w:tcPr>
            <w:tcW w:type="dxa" w:w="6026"/>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000000"/>
                <w:sz w:val="20"/>
                <w:szCs w:val="20"/>
              </w:rPr>
              <w:t xml:space="preserve">Definition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Source primaire identifiee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Source unique auditee, non agregee perceptuellement (WB brut, BACI, USGS)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Non comparatif inter-pays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 score d''un pays ne peut pas etre range par rapport a un autre sans biais causal majeur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Non imputable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L''absence de donnee est une information, pas un manquant a corriger par MICE ou KNN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Auditabilite totale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Chaque valeur est tracable : source → formule → valeur. Pas d''agregation opaque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Hors calcul ISA</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Absent de indicator_meta_links. Ne contribue pas a compute_pillar_score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Hors AMAR/GENECO direct</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Pas d''intrant direct dans les moteurs d''alerte — usage analytique contextuel uniquement</w:t>
            </w:r>
          </w:p>
        </w:tc>
      </w:tr>
    </w:tbl>
    <w:p>
      <w:pPr>
        <w:spacing w:after="80" w:before="80"/>
      </w:pPr>
      <w:r>
        <w:t xml:space="preserve"/>
      </w:r>
    </w:p>
    <w:p>
      <w:pPr>
        <w:pStyle w:val="Heading1"/>
        <w:spacing w:after="200" w:before="360"/>
      </w:pPr>
      <w:r>
        <w:rPr>
          <w:rFonts w:ascii="Arial" w:cs="Arial" w:eastAsia="Arial" w:hAnsi="Arial"/>
          <w:b/>
          <w:bCs/>
          <w:color w:val="1F4E8C"/>
          <w:sz w:val="32"/>
          <w:szCs w:val="32"/>
        </w:rPr>
        <w:t xml:space="preserve">4. Perimetre initial — Sprint 27</w:t>
      </w:r>
    </w:p>
    <w:p>
      <w:pPr>
        <w:spacing w:after="60" w:before="60"/>
      </w:pPr>
      <w:r>
        <w:rPr>
          <w:rFonts w:ascii="Arial" w:cs="Arial" w:eastAsia="Arial" w:hAnsi="Arial"/>
          <w:b w:val="false"/>
          <w:bCs w:val="false"/>
          <w:sz w:val="22"/>
          <w:szCs w:val="22"/>
        </w:rPr>
        <w:t xml:space="preserve">Trois indicateurs sont officiellement classes IOSA a compter du Sprint 27 :</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2526"/>
        <w:gridCol w:w="2500"/>
      </w:tblGrid>
      <w:tr>
        <w:tc>
          <w:tcPr>
            <w:tcW w:type="dxa" w:w="25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000000"/>
                <w:sz w:val="20"/>
                <w:szCs w:val="20"/>
              </w:rPr>
              <w:t xml:space="preserve">Code</w:t>
            </w:r>
          </w:p>
        </w:tc>
        <w:tc>
          <w:tcPr>
            <w:tcW w:type="dxa" w:w="15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000000"/>
                <w:sz w:val="20"/>
                <w:szCs w:val="20"/>
              </w:rPr>
              <w:t xml:space="preserve">Pilier</w:t>
            </w:r>
          </w:p>
        </w:tc>
        <w:tc>
          <w:tcPr>
            <w:tcW w:type="dxa" w:w="2526"/>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000000"/>
                <w:sz w:val="20"/>
                <w:szCs w:val="20"/>
              </w:rPr>
              <w:t xml:space="preserve">Source</w:t>
            </w:r>
          </w:p>
        </w:tc>
        <w:tc>
          <w:tcPr>
            <w:tcW w:type="dxa" w:w="25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000000"/>
                <w:sz w:val="20"/>
                <w:szCs w:val="20"/>
              </w:rPr>
              <w:t xml:space="preserve">Couverture actuelle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PHUM_VALUE_CAPTURE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PHUM</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WB SH.MED.PHYS.ZS + SE.TER.ENRR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54 pays, 2010-2024 (810 valeurs L3)</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PMIN_VALUE_LEAKAGE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PMIN</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CEPII BACI HS92 (HS26+27+71)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54 pays, 2010-2024 (810 valeurs L3)</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PMIN_SMUGGLING_SIGNAL_RANK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PMIN</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BACI x USGS MIN_PRD_*</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37 pays, 2016-2021 (106 valeurs L1, 0 L3)</w:t>
            </w:r>
          </w:p>
        </w:tc>
      </w:tr>
    </w:tbl>
    <w:p>
      <w:pPr>
        <w:spacing w:after="80" w:before="80"/>
      </w:pPr>
      <w:r>
        <w:t xml:space="preserve"/>
      </w:r>
    </w:p>
    <w:p>
      <w:pPr>
        <w:spacing w:after="60" w:before="60"/>
      </w:pPr>
      <w:r>
        <w:rPr>
          <w:rFonts w:ascii="Arial" w:cs="Arial" w:eastAsia="Arial" w:hAnsi="Arial"/>
          <w:b w:val="false"/>
          <w:bCs w:val="false"/>
          <w:sz w:val="22"/>
          <w:szCs w:val="22"/>
        </w:rPr>
        <w:t xml:space="preserve">Note sur PMIN_SMUGGLING_SIGNAL_RANK : la couverture partielle (37 pays, 2016-2021) est maintenue en l''etat — conforme au principe de non-imputation. L''extension 2022-2024 est conditionnee a la disponibilite du cache BACI (fetcher_baci_mirror.py).</w:t>
      </w:r>
    </w:p>
    <w:p>
      <w:pPr>
        <w:spacing w:after="80" w:before="80"/>
      </w:pPr>
      <w:r>
        <w:t xml:space="preserve"/>
      </w:r>
    </w:p>
    <w:p>
      <w:pPr>
        <w:pStyle w:val="Heading1"/>
        <w:spacing w:after="200" w:before="360"/>
      </w:pPr>
      <w:r>
        <w:rPr>
          <w:rFonts w:ascii="Arial" w:cs="Arial" w:eastAsia="Arial" w:hAnsi="Arial"/>
          <w:b/>
          <w:bCs/>
          <w:color w:val="1F4E8C"/>
          <w:sz w:val="32"/>
          <w:szCs w:val="32"/>
        </w:rPr>
        <w:t xml:space="preserve">5. Chaine technique IOSA</w:t>
      </w:r>
    </w:p>
    <w:p>
      <w:pPr>
        <w:spacing w:after="60" w:before="60"/>
      </w:pPr>
      <w:r>
        <w:rPr>
          <w:rFonts w:ascii="Arial" w:cs="Arial" w:eastAsia="Arial" w:hAnsi="Arial"/>
          <w:b w:val="false"/>
          <w:bCs w:val="false"/>
          <w:sz w:val="22"/>
          <w:szCs w:val="22"/>
        </w:rPr>
        <w:t xml:space="preserve">Les indicateurs IOSA suivent une chaine simplifiee, sans les couches de normalisation comparative et d''imputation de l''ISA :</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26"/>
        <w:gridCol w:w="3500"/>
      </w:tblGrid>
      <w:tr>
        <w:tc>
          <w:tcPr>
            <w:tcW w:type="dxa" w:w="2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000000"/>
                <w:sz w:val="20"/>
                <w:szCs w:val="20"/>
              </w:rPr>
              <w:t xml:space="preserve">Couche</w:t>
            </w:r>
          </w:p>
        </w:tc>
        <w:tc>
          <w:tcPr>
            <w:tcW w:type="dxa" w:w="3526"/>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000000"/>
                <w:sz w:val="20"/>
                <w:szCs w:val="20"/>
              </w:rPr>
              <w:t xml:space="preserve">Objet</w:t>
            </w:r>
          </w:p>
        </w:tc>
        <w:tc>
          <w:tcPr>
            <w:tcW w:type="dxa" w:w="35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000000"/>
                <w:sz w:val="20"/>
                <w:szCs w:val="20"/>
              </w:rPr>
              <w:t xml:space="preserve">Specificite IOSA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L1 collect.raw_data</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Valeur brute source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Source unique identifiee, pas d''aggregation</w:t>
            </w:r>
          </w:p>
        </w:tc>
      </w:tr>
      <w:tr>
        <w:tc>
          <w:tcPr>
            <w:tcW w:type="dxa" w:w="20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000000"/>
                <w:sz w:val="20"/>
                <w:szCs w:val="20"/>
              </w:rPr>
              <w:t xml:space="preserve">L2 ABSENT</w:t>
            </w:r>
          </w:p>
        </w:tc>
        <w:tc>
          <w:tcPr>
            <w:tcW w:type="dxa" w:w="3526"/>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000000"/>
                <w:sz w:val="20"/>
                <w:szCs w:val="20"/>
              </w:rPr>
              <w:t xml:space="preserve">Imputation MICE/KNN</w:t>
            </w:r>
          </w:p>
        </w:tc>
        <w:tc>
          <w:tcPr>
            <w:tcW w:type="dxa" w:w="35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000000"/>
                <w:sz w:val="20"/>
                <w:szCs w:val="20"/>
              </w:rPr>
              <w:t xml:space="preserve">NON APPLICABLE — non-imputation doctrinale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L3 indicator_values</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Valeur calculee / normalisee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Normalisation interne au pays (benchmark propre), pas min-max inter-pays</w:t>
            </w:r>
          </w:p>
        </w:tc>
      </w:tr>
      <w:tr>
        <w:tc>
          <w:tcPr>
            <w:tcW w:type="dxa" w:w="20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000000"/>
                <w:sz w:val="20"/>
                <w:szCs w:val="20"/>
              </w:rPr>
              <w:t xml:space="preserve">indicator_meta_links ABSENT</w:t>
            </w:r>
          </w:p>
        </w:tc>
        <w:tc>
          <w:tcPr>
            <w:tcW w:type="dxa" w:w="3526"/>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000000"/>
                <w:sz w:val="20"/>
                <w:szCs w:val="20"/>
              </w:rPr>
              <w:t xml:space="preserve">Poids ISA</w:t>
            </w:r>
          </w:p>
        </w:tc>
        <w:tc>
          <w:tcPr>
            <w:tcW w:type="dxa" w:w="35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000000"/>
                <w:sz w:val="20"/>
                <w:szCs w:val="20"/>
              </w:rPr>
              <w:t xml:space="preserve">NON APPLICABLE — hors calcul ISA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Exposition</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 / rapports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Endpoint dedie /api/v2/sovereignty/structural-obs ou API premium affilies</w:t>
            </w:r>
          </w:p>
        </w:tc>
      </w:tr>
    </w:tbl>
    <w:p>
      <w:pPr>
        <w:spacing w:after="80" w:before="80"/>
      </w:pPr>
      <w:r>
        <w:t xml:space="preserve"/>
      </w:r>
    </w:p>
    <w:p>
      <w:pPr>
        <w:pStyle w:val="Heading1"/>
        <w:spacing w:after="200" w:before="360"/>
      </w:pPr>
      <w:r>
        <w:rPr>
          <w:rFonts w:ascii="Arial" w:cs="Arial" w:eastAsia="Arial" w:hAnsi="Arial"/>
          <w:b/>
          <w:bCs/>
          <w:color w:val="1F4E8C"/>
          <w:sz w:val="32"/>
          <w:szCs w:val="32"/>
        </w:rPr>
        <w:t xml:space="preserve">6. Extension future de la classe IOSA</w:t>
      </w:r>
    </w:p>
    <w:p>
      <w:pPr>
        <w:spacing w:after="60" w:before="60"/>
      </w:pPr>
      <w:r>
        <w:rPr>
          <w:rFonts w:ascii="Arial" w:cs="Arial" w:eastAsia="Arial" w:hAnsi="Arial"/>
          <w:b w:val="false"/>
          <w:bCs w:val="false"/>
          <w:sz w:val="22"/>
          <w:szCs w:val="22"/>
        </w:rPr>
        <w:t xml:space="preserve">D''autres indicateurs pourront rejoindre la classe IOSA selon les criteres de la section 3. Candidats identifies :</w:t>
      </w:r>
    </w:p>
    <w:p>
      <w:pPr>
        <w:pStyle w:val="ListParagraph"/>
        <w:numPr>
          <w:ilvl w:val="0"/>
          <w:numId w:val="2"/>
        </w:numPr>
        <w:spacing w:after="40" w:before="40"/>
      </w:pPr>
      <w:r>
        <w:rPr>
          <w:rFonts w:ascii="Arial" w:cs="Arial" w:eastAsia="Arial" w:hAnsi="Arial"/>
          <w:sz w:val="22"/>
          <w:szCs w:val="22"/>
        </w:rPr>
        <w:t xml:space="preserve">MIN_LEAKAGE_RISK (PMIN) — 181 valeurs partielles en base, couverture incomplete</w:t>
      </w:r>
    </w:p>
    <w:p>
      <w:pPr>
        <w:pStyle w:val="ListParagraph"/>
        <w:numPr>
          <w:ilvl w:val="0"/>
          <w:numId w:val="2"/>
        </w:numPr>
        <w:spacing w:after="40" w:before="40"/>
      </w:pPr>
      <w:r>
        <w:rPr>
          <w:rFonts w:ascii="Arial" w:cs="Arial" w:eastAsia="Arial" w:hAnsi="Arial"/>
          <w:sz w:val="22"/>
          <w:szCs w:val="22"/>
        </w:rPr>
        <w:t xml:space="preserve">Tout indicateur de flux financiers illicites (IFF) si source primaire disponible</w:t>
      </w:r>
    </w:p>
    <w:p>
      <w:pPr>
        <w:pStyle w:val="ListParagraph"/>
        <w:numPr>
          <w:ilvl w:val="0"/>
          <w:numId w:val="2"/>
        </w:numPr>
        <w:spacing w:after="40" w:before="40"/>
      </w:pPr>
      <w:r>
        <w:rPr>
          <w:rFonts w:ascii="Arial" w:cs="Arial" w:eastAsia="Arial" w:hAnsi="Arial"/>
          <w:sz w:val="22"/>
          <w:szCs w:val="22"/>
        </w:rPr>
        <w:t xml:space="preserve">Indicateurs de dependance technologique sectorielle (hors ISA numerique)</w:t>
      </w:r>
    </w:p>
    <w:p>
      <w:pPr>
        <w:pStyle w:val="ListParagraph"/>
        <w:numPr>
          <w:ilvl w:val="0"/>
          <w:numId w:val="2"/>
        </w:numPr>
        <w:spacing w:after="40" w:before="40"/>
      </w:pPr>
      <w:r>
        <w:rPr>
          <w:rFonts w:ascii="Arial" w:cs="Arial" w:eastAsia="Arial" w:hAnsi="Arial"/>
          <w:sz w:val="22"/>
          <w:szCs w:val="22"/>
        </w:rPr>
        <w:t xml:space="preserve">Signaux de capture etatique non perceptuels (hors WGI exclus Sprint 21)</w:t>
      </w:r>
    </w:p>
    <w:p>
      <w:pPr>
        <w:spacing w:after="80" w:before="80"/>
      </w:pPr>
      <w:r>
        <w:t xml:space="preserve"/>
      </w:r>
    </w:p>
    <w:p>
      <w:pPr>
        <w:spacing w:after="60" w:before="60"/>
      </w:pPr>
      <w:r>
        <w:rPr>
          <w:rFonts w:ascii="Arial" w:cs="Arial" w:eastAsia="Arial" w:hAnsi="Arial"/>
          <w:b w:val="false"/>
          <w:bCs w:val="false"/>
          <w:sz w:val="22"/>
          <w:szCs w:val="22"/>
        </w:rPr>
        <w:t xml:space="preserve">Tout nouvel indicateur IOSA doit faire l''objet d''une decision doctrinale formelle analogue au present document.</w:t>
      </w:r>
    </w:p>
    <w:p>
      <w:pPr>
        <w:spacing w:after="80" w:before="80"/>
      </w:pPr>
      <w:r>
        <w:t xml:space="preserve"/>
      </w:r>
    </w:p>
    <w:p>
      <w:pPr>
        <w:pStyle w:val="Heading1"/>
        <w:spacing w:after="200" w:before="360"/>
      </w:pPr>
      <w:r>
        <w:rPr>
          <w:rFonts w:ascii="Arial" w:cs="Arial" w:eastAsia="Arial" w:hAnsi="Arial"/>
          <w:b/>
          <w:bCs/>
          <w:color w:val="1F4E8C"/>
          <w:sz w:val="32"/>
          <w:szCs w:val="32"/>
        </w:rPr>
        <w:t xml:space="preserve">7. Decision officielle</w:t>
      </w:r>
    </w:p>
    <w:p>
      <w:pPr>
        <w:spacing w:after="120" w:before="120"/>
      </w:pPr>
      <w:r>
        <w:rPr>
          <w:rFonts w:ascii="Arial" w:cs="Arial" w:eastAsia="Arial" w:hAnsi="Arial"/>
          <w:b/>
          <w:bCs/>
          <w:color w:val="1F4E8C"/>
          <w:sz w:val="26"/>
          <w:szCs w:val="26"/>
        </w:rPr>
        <w:t xml:space="preserve">DECISION : Institution de la classe IOSA dans l''architecture OSA</w:t>
      </w:r>
    </w:p>
    <w:p>
      <w:pPr>
        <w:pStyle w:val="ListParagraph"/>
        <w:numPr>
          <w:ilvl w:val="0"/>
          <w:numId w:val="2"/>
        </w:numPr>
        <w:spacing w:after="40" w:before="40"/>
      </w:pPr>
      <w:r>
        <w:rPr>
          <w:rFonts w:ascii="Arial" w:cs="Arial" w:eastAsia="Arial" w:hAnsi="Arial"/>
          <w:sz w:val="22"/>
          <w:szCs w:val="22"/>
        </w:rPr>
        <w:t xml:space="preserve">Base : doctrine P7E — observation comportementale pure, non comparative, non imputable</w:t>
      </w:r>
    </w:p>
    <w:p>
      <w:pPr>
        <w:pStyle w:val="ListParagraph"/>
        <w:numPr>
          <w:ilvl w:val="0"/>
          <w:numId w:val="2"/>
        </w:numPr>
        <w:spacing w:after="40" w:before="40"/>
      </w:pPr>
      <w:r>
        <w:rPr>
          <w:rFonts w:ascii="Arial" w:cs="Arial" w:eastAsia="Arial" w:hAnsi="Arial"/>
          <w:sz w:val="22"/>
          <w:szCs w:val="22"/>
        </w:rPr>
        <w:t xml:space="preserve">Perimetre initial : PHUM_VALUE_CAPTURE, PMIN_VALUE_LEAKAGE, PMIN_SMUGGLING_SIGNAL_RANK</w:t>
      </w:r>
    </w:p>
    <w:p>
      <w:pPr>
        <w:pStyle w:val="ListParagraph"/>
        <w:numPr>
          <w:ilvl w:val="0"/>
          <w:numId w:val="2"/>
        </w:numPr>
        <w:spacing w:after="40" w:before="40"/>
      </w:pPr>
      <w:r>
        <w:rPr>
          <w:rFonts w:ascii="Arial" w:cs="Arial" w:eastAsia="Arial" w:hAnsi="Arial"/>
          <w:sz w:val="22"/>
          <w:szCs w:val="22"/>
        </w:rPr>
        <w:t xml:space="preserve">Chaine technique : L1 → L3 uniquement, sans L2 (imputation) ni indicator_meta_links</w:t>
      </w:r>
    </w:p>
    <w:p>
      <w:pPr>
        <w:pStyle w:val="ListParagraph"/>
        <w:numPr>
          <w:ilvl w:val="0"/>
          <w:numId w:val="2"/>
        </w:numPr>
        <w:spacing w:after="40" w:before="40"/>
      </w:pPr>
      <w:r>
        <w:rPr>
          <w:rFonts w:ascii="Arial" w:cs="Arial" w:eastAsia="Arial" w:hAnsi="Arial"/>
          <w:sz w:val="22"/>
          <w:szCs w:val="22"/>
        </w:rPr>
        <w:t xml:space="preserve">Calcul ISA : non affecte — ces indicateurs ne contribuent pas et ne doivent pas contribuer</w:t>
      </w:r>
    </w:p>
    <w:p>
      <w:pPr>
        <w:pStyle w:val="ListParagraph"/>
        <w:numPr>
          <w:ilvl w:val="0"/>
          <w:numId w:val="2"/>
        </w:numPr>
        <w:spacing w:after="40" w:before="40"/>
      </w:pPr>
      <w:r>
        <w:rPr>
          <w:rFonts w:ascii="Arial" w:cs="Arial" w:eastAsia="Arial" w:hAnsi="Arial"/>
          <w:sz w:val="22"/>
          <w:szCs w:val="22"/>
        </w:rPr>
        <w:t xml:space="preserve">AMAR/GENECO : usage contextuel analytique uniquement — pas d''intrant direct dans les moteurs</w:t>
      </w:r>
    </w:p>
    <w:p>
      <w:pPr>
        <w:pStyle w:val="ListParagraph"/>
        <w:numPr>
          <w:ilvl w:val="0"/>
          <w:numId w:val="2"/>
        </w:numPr>
        <w:spacing w:after="40" w:before="40"/>
      </w:pPr>
      <w:r>
        <w:rPr>
          <w:rFonts w:ascii="Arial" w:cs="Arial" w:eastAsia="Arial" w:hAnsi="Arial"/>
          <w:sz w:val="22"/>
          <w:szCs w:val="22"/>
        </w:rPr>
        <w:t xml:space="preserve">Exposition : endpoint API dedie, rapports institutionnels, usage premium affilie</w:t>
      </w:r>
    </w:p>
    <w:p>
      <w:pPr>
        <w:pStyle w:val="ListParagraph"/>
        <w:numPr>
          <w:ilvl w:val="0"/>
          <w:numId w:val="2"/>
        </w:numPr>
        <w:spacing w:after="40" w:before="40"/>
      </w:pPr>
      <w:r>
        <w:rPr>
          <w:rFonts w:ascii="Arial" w:cs="Arial" w:eastAsia="Arial" w:hAnsi="Arial"/>
          <w:sz w:val="22"/>
          <w:szCs w:val="22"/>
        </w:rPr>
        <w:t xml:space="preserve">Tracabilite GAF : finding #30 IOSA_CLASS_CREATION (ORIENTED)</w:t>
      </w:r>
    </w:p>
    <w:p>
      <w:pPr>
        <w:spacing w:after="80" w:before="80"/>
      </w:pPr>
      <w:r>
        <w:t xml:space="preserve"/>
      </w:r>
    </w:p>
    <w:p>
      <w:pPr>
        <w:spacing w:after="60" w:before="60"/>
      </w:pPr>
      <w:r>
        <w:rPr>
          <w:rFonts w:ascii="Arial" w:cs="Arial" w:eastAsia="Arial" w:hAnsi="Arial"/>
          <w:b w:val="false"/>
          <w:bCs w:val="false"/>
          <w:sz w:val="22"/>
          <w:szCs w:val="22"/>
        </w:rPr>
        <w:t xml:space="preserve">Cette decision est definitive pour les indicateurs listes. Elle constitue un cadre extensible pour les futurs indicateurs souverains observationnels non comparatifs.</w:t>
      </w:r>
    </w:p>
    <w:p>
      <w:pPr>
        <w:spacing w:after="80" w:before="80"/>
      </w:pPr>
      <w:r>
        <w:t xml:space="preserve"/>
      </w:r>
    </w:p>
    <w:p>
      <w:pPr>
        <w:pBdr>
          <w:bottom w:val="single" w:color="1F4E8C" w:sz="6" w:space="1"/>
        </w:pBdr>
        <w:spacing w:after="120" w:before="120"/>
      </w:pPr>
    </w:p>
    <w:p>
      <w:pPr>
        <w:spacing w:after="0" w:before="200"/>
        <w:jc w:val="center"/>
      </w:pPr>
      <w:r>
        <w:rPr>
          <w:rFonts w:ascii="Arial" w:cs="Arial" w:eastAsia="Arial" w:hAnsi="Arial"/>
          <w:color w:val="595959"/>
          <w:sz w:val="20"/>
          <w:szCs w:val="20"/>
        </w:rPr>
        <w:t xml:space="preserve">Conseil technique OSA — Sprint 27 — 23 juin 2026</w:t>
      </w:r>
    </w:p>
    <w:sectPr>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8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F4E8C"/>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2026-06-24T18:28:41.008Z</dcterms:created>
  <dcterms:modified xsi:type="dcterms:W3CDTF">2026-06-24T18:28:41.023Z</dcterms:modified>
</cp:coreProperties>
</file>

<file path=docProps/custom.xml><?xml version="1.0" encoding="utf-8"?>
<Properties xmlns="http://schemas.openxmlformats.org/officeDocument/2006/custom-properties" xmlns:vt="http://schemas.openxmlformats.org/officeDocument/2006/docPropsVTypes"/>
</file>