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OSA Observatory — Analyse de sensibilite Monte Carlo</w:t>
      </w:r>
    </w:p>
    <w:p>
      <w:r>
        <w:t>Annee de reference : 2022  |  Simulations : 10 000 par dimension  |  Date : 24/05/2026 23:13</w:t>
      </w:r>
    </w:p>
    <w:p/>
    <w:p>
      <w:pPr>
        <w:pStyle w:val="Heading1"/>
      </w:pPr>
      <w:r>
        <w:rPr>
          <w:color w:val="1F4E79"/>
        </w:rPr>
        <w:t>Synthese executif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Robustesse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Pays le plus sensible</w:t>
            </w:r>
          </w:p>
        </w:tc>
      </w:tr>
      <w:tr>
        <w:tc>
          <w:tcPr>
            <w:tcW w:type="dxa" w:w="2160"/>
          </w:tcPr>
          <w:p>
            <w:r>
              <w:t>D1_PILLAR_WEIGHTS</w:t>
            </w:r>
          </w:p>
        </w:tc>
        <w:tc>
          <w:tcPr>
            <w:tcW w:type="dxa" w:w="2160"/>
          </w:tcPr>
          <w:p>
            <w:r>
              <w:t>0.847</w:t>
            </w:r>
          </w:p>
        </w:tc>
        <w:tc>
          <w:tcPr>
            <w:tcW w:type="dxa" w:w="2160"/>
          </w:tcPr>
          <w:p>
            <w:r>
              <w:t>MODEREMENT_ROBUSTE</w:t>
            </w:r>
          </w:p>
        </w:tc>
        <w:tc>
          <w:tcPr>
            <w:tcW w:type="dxa" w:w="2160"/>
          </w:tcPr>
          <w:p>
            <w:r>
              <w:t>SYC</w:t>
            </w:r>
          </w:p>
        </w:tc>
      </w:tr>
      <w:tr>
        <w:tc>
          <w:tcPr>
            <w:tcW w:type="dxa" w:w="2160"/>
          </w:tcPr>
          <w:p>
            <w:r>
              <w:t>D2_SEMANTIC_WEIGHTS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  <w:tc>
          <w:tcPr>
            <w:tcW w:type="dxa" w:w="2160"/>
          </w:tcPr>
          <w:p>
            <w:r>
              <w:t>ROBUSTE</w:t>
            </w:r>
          </w:p>
        </w:tc>
        <w:tc>
          <w:tcPr>
            <w:tcW w:type="dxa" w:w="2160"/>
          </w:tcPr>
          <w:p>
            <w:r>
              <w:t>ZAF</w:t>
            </w:r>
          </w:p>
        </w:tc>
      </w:tr>
      <w:tr>
        <w:tc>
          <w:tcPr>
            <w:tcW w:type="dxa" w:w="2160"/>
          </w:tcPr>
          <w:p>
            <w:r>
              <w:t>D3_IMPUTATION_UNCERTAINTY</w:t>
            </w:r>
          </w:p>
        </w:tc>
        <w:tc>
          <w:tcPr>
            <w:tcW w:type="dxa" w:w="2160"/>
          </w:tcPr>
          <w:p>
            <w:r>
              <w:t>0.805</w:t>
            </w:r>
          </w:p>
        </w:tc>
        <w:tc>
          <w:tcPr>
            <w:tcW w:type="dxa" w:w="2160"/>
          </w:tcPr>
          <w:p>
            <w:r>
              <w:t>MODEREMENT_ROBUSTE</w:t>
            </w:r>
          </w:p>
        </w:tc>
        <w:tc>
          <w:tcPr>
            <w:tcW w:type="dxa" w:w="2160"/>
          </w:tcPr>
          <w:p>
            <w:r>
              <w:t>COD</w:t>
            </w:r>
          </w:p>
        </w:tc>
      </w:tr>
    </w:tbl>
    <w:p/>
    <w:p>
      <w:pPr>
        <w:pStyle w:val="Heading1"/>
      </w:pPr>
      <w:r>
        <w:rPr>
          <w:color w:val="1F4E79"/>
        </w:rPr>
        <w:t>Dimension 1 — Sensibilite aux poids piliers</w:t>
      </w:r>
    </w:p>
    <w:p>
      <w:r>
        <w:rPr>
          <w:b/>
          <w:i w:val="0"/>
        </w:rPr>
        <w:t>Score de robustesse : 0.8470  |  Verdict : MODEREMENT_ROBUSTE</w:t>
      </w:r>
    </w:p>
    <w:p>
      <w:r>
        <w:rPr>
          <w:b w:val="0"/>
          <w:i w:val="0"/>
        </w:rPr>
        <w:t>Ecart-type moyen des scores ISA : 0.0207  |  Ecart-type moyen des rangs : 7.13  |  Changement de quintile moyen : 45.1%  |  Max : 80.7%</w:t>
      </w:r>
    </w:p>
    <w:p>
      <w:r>
        <w:rPr>
          <w:b w:val="0"/>
          <w:i/>
        </w:rPr>
        <w:t>Interpretation : une variation de ±50% autour de la ponderation egale (0.10 par pilier) produit un ecart-type moyen de 0.0207 sur les scores ISA. 45.1% des pays changent de quintile en moyenne. L'indice est moderement sensible aux choix de ponderation.</w:t>
      </w:r>
    </w:p>
    <w:p>
      <w:pPr>
        <w:pStyle w:val="Heading2"/>
      </w:pPr>
      <w:r>
        <w:rPr>
          <w:color w:val="2E75B6"/>
        </w:rPr>
        <w:t>Pays les plus sensibles (D1)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Pays</w:t>
            </w:r>
          </w:p>
        </w:tc>
        <w:tc>
          <w:tcPr>
            <w:tcW w:type="dxa" w:w="1728"/>
          </w:tcPr>
          <w:p>
            <w:r>
              <w:t>Score ISA baseline</w:t>
            </w:r>
          </w:p>
        </w:tc>
        <w:tc>
          <w:tcPr>
            <w:tcW w:type="dxa" w:w="1728"/>
          </w:tcPr>
          <w:p>
            <w:r>
              <w:t>Rang baseline</w:t>
            </w:r>
          </w:p>
        </w:tc>
        <w:tc>
          <w:tcPr>
            <w:tcW w:type="dxa" w:w="1728"/>
          </w:tcPr>
          <w:p>
            <w:r>
              <w:t>Ecart-type score</w:t>
            </w:r>
          </w:p>
        </w:tc>
        <w:tc>
          <w:tcPr>
            <w:tcW w:type="dxa" w:w="1728"/>
          </w:tcPr>
          <w:p>
            <w:r>
              <w:t>% changement quintile</w:t>
            </w:r>
          </w:p>
        </w:tc>
      </w:tr>
      <w:tr>
        <w:tc>
          <w:tcPr>
            <w:tcW w:type="dxa" w:w="1728"/>
          </w:tcPr>
          <w:p>
            <w:r>
              <w:t>SYC</w:t>
            </w:r>
          </w:p>
        </w:tc>
        <w:tc>
          <w:tcPr>
            <w:tcW w:type="dxa" w:w="1728"/>
          </w:tcPr>
          <w:p>
            <w:r>
              <w:t>0.1481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0.0298</w:t>
            </w:r>
          </w:p>
        </w:tc>
        <w:tc>
          <w:tcPr>
            <w:tcW w:type="dxa" w:w="1728"/>
          </w:tcPr>
          <w:p>
            <w:r>
              <w:t>80.7%</w:t>
            </w:r>
          </w:p>
        </w:tc>
      </w:tr>
      <w:tr>
        <w:tc>
          <w:tcPr>
            <w:tcW w:type="dxa" w:w="1728"/>
          </w:tcPr>
          <w:p>
            <w:r>
              <w:t>EGY</w:t>
            </w:r>
          </w:p>
        </w:tc>
        <w:tc>
          <w:tcPr>
            <w:tcW w:type="dxa" w:w="1728"/>
          </w:tcPr>
          <w:p>
            <w:r>
              <w:t>0.154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0.0284</w:t>
            </w:r>
          </w:p>
        </w:tc>
        <w:tc>
          <w:tcPr>
            <w:tcW w:type="dxa" w:w="1728"/>
          </w:tcPr>
          <w:p>
            <w:r>
              <w:t>55.8%</w:t>
            </w:r>
          </w:p>
        </w:tc>
      </w:tr>
      <w:tr>
        <w:tc>
          <w:tcPr>
            <w:tcW w:type="dxa" w:w="1728"/>
          </w:tcPr>
          <w:p>
            <w:r>
              <w:t>AGO</w:t>
            </w:r>
          </w:p>
        </w:tc>
        <w:tc>
          <w:tcPr>
            <w:tcW w:type="dxa" w:w="1728"/>
          </w:tcPr>
          <w:p>
            <w:r>
              <w:t>0.1847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0.0273</w:t>
            </w:r>
          </w:p>
        </w:tc>
        <w:tc>
          <w:tcPr>
            <w:tcW w:type="dxa" w:w="1728"/>
          </w:tcPr>
          <w:p>
            <w:r>
              <w:t>3.9%</w:t>
            </w:r>
          </w:p>
        </w:tc>
      </w:tr>
      <w:tr>
        <w:tc>
          <w:tcPr>
            <w:tcW w:type="dxa" w:w="1728"/>
          </w:tcPr>
          <w:p>
            <w:r>
              <w:t>ZAF</w:t>
            </w:r>
          </w:p>
        </w:tc>
        <w:tc>
          <w:tcPr>
            <w:tcW w:type="dxa" w:w="1728"/>
          </w:tcPr>
          <w:p>
            <w:r>
              <w:t>0.1921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0.0269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</w:tr>
      <w:tr>
        <w:tc>
          <w:tcPr>
            <w:tcW w:type="dxa" w:w="1728"/>
          </w:tcPr>
          <w:p>
            <w:r>
              <w:t>MLI</w:t>
            </w:r>
          </w:p>
        </w:tc>
        <w:tc>
          <w:tcPr>
            <w:tcW w:type="dxa" w:w="1728"/>
          </w:tcPr>
          <w:p>
            <w:r>
              <w:t>0.1329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0.0268</w:t>
            </w:r>
          </w:p>
        </w:tc>
        <w:tc>
          <w:tcPr>
            <w:tcW w:type="dxa" w:w="1728"/>
          </w:tcPr>
          <w:p>
            <w:r>
              <w:t>69.4%</w:t>
            </w:r>
          </w:p>
        </w:tc>
      </w:tr>
    </w:tbl>
    <w:p/>
    <w:p>
      <w:pPr>
        <w:pStyle w:val="Heading1"/>
      </w:pPr>
      <w:r>
        <w:rPr>
          <w:color w:val="1F4E79"/>
        </w:rPr>
        <w:t>Dimension 2 — Sensibilite aux poids semantiques</w:t>
      </w:r>
    </w:p>
    <w:p>
      <w:r>
        <w:rPr>
          <w:b/>
          <w:i w:val="0"/>
        </w:rPr>
        <w:t>Score de robustesse : 0.9588  |  Verdict : ROBUSTE</w:t>
      </w:r>
    </w:p>
    <w:p>
      <w:r>
        <w:rPr>
          <w:b w:val="0"/>
          <w:i w:val="0"/>
        </w:rPr>
        <w:t>Variation appliquee : ±20%  |  Ecart-type moyen des scores ISA : 0.0056</w:t>
      </w:r>
    </w:p>
    <w:p>
      <w:r>
        <w:rPr>
          <w:b w:val="0"/>
          <w:i/>
        </w:rPr>
        <w:t>Interpretation : une variation de ±20% des poids semantiques produit un ecart-type moyen de 0.0056 sur les scores ISA. Les choix de ponderation semantique ont un impact faible.</w:t>
      </w:r>
    </w:p>
    <w:p/>
    <w:p>
      <w:pPr>
        <w:pStyle w:val="Heading1"/>
      </w:pPr>
      <w:r>
        <w:rPr>
          <w:color w:val="1F4E79"/>
        </w:rPr>
        <w:t>Dimension 3 — Incertitude d'imputation</w:t>
      </w:r>
    </w:p>
    <w:p>
      <w:r>
        <w:rPr>
          <w:b/>
          <w:i w:val="0"/>
        </w:rPr>
        <w:t>Score de robustesse : 0.8052  |  Verdict : MODEREMENT_ROBUSTE</w:t>
      </w:r>
    </w:p>
    <w:p>
      <w:r>
        <w:rPr>
          <w:b w:val="0"/>
          <w:i w:val="0"/>
        </w:rPr>
        <w:t>Amplitude moyenne IC90 : 0.0264  |  Amplitude max IC90 : 0.0368  |  Pays le plus incertain : COD</w:t>
      </w:r>
    </w:p>
    <w:p>
      <w:r>
        <w:rPr>
          <w:b w:val="0"/>
          <w:i/>
        </w:rPr>
        <w:t>Interpretation : l'intervalle de confiance a 90% des scores ISA a une amplitude moyenne de 0.0264. L'incertitude liee aux donnees imputees est moderee — des efforts de collecte supplementaires sont recommandes pour les pays a faible confiance.</w:t>
      </w:r>
    </w:p>
    <w:p>
      <w:pPr>
        <w:pStyle w:val="Heading2"/>
      </w:pPr>
      <w:r>
        <w:rPr>
          <w:color w:val="2E75B6"/>
        </w:rPr>
        <w:t>Pays avec les intervalles de confiance les plus larges (D3)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Pays</w:t>
            </w:r>
          </w:p>
        </w:tc>
        <w:tc>
          <w:tcPr>
            <w:tcW w:type="dxa" w:w="1728"/>
          </w:tcPr>
          <w:p>
            <w:r>
              <w:t>ISA baseline</w:t>
            </w:r>
          </w:p>
        </w:tc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P95</w:t>
            </w:r>
          </w:p>
        </w:tc>
        <w:tc>
          <w:tcPr>
            <w:tcW w:type="dxa" w:w="1728"/>
          </w:tcPr>
          <w:p>
            <w:r>
              <w:t>IC90</w:t>
            </w:r>
          </w:p>
        </w:tc>
      </w:tr>
      <w:tr>
        <w:tc>
          <w:tcPr>
            <w:tcW w:type="dxa" w:w="1728"/>
          </w:tcPr>
          <w:p>
            <w:r>
              <w:t>COD</w:t>
            </w:r>
          </w:p>
        </w:tc>
        <w:tc>
          <w:tcPr>
            <w:tcW w:type="dxa" w:w="1728"/>
          </w:tcPr>
          <w:p>
            <w:r>
              <w:t>0.1494</w:t>
            </w:r>
          </w:p>
        </w:tc>
        <w:tc>
          <w:tcPr>
            <w:tcW w:type="dxa" w:w="1728"/>
          </w:tcPr>
          <w:p>
            <w:r>
              <w:t>0.1312</w:t>
            </w:r>
          </w:p>
        </w:tc>
        <w:tc>
          <w:tcPr>
            <w:tcW w:type="dxa" w:w="1728"/>
          </w:tcPr>
          <w:p>
            <w:r>
              <w:t>0.168</w:t>
            </w:r>
          </w:p>
        </w:tc>
        <w:tc>
          <w:tcPr>
            <w:tcW w:type="dxa" w:w="1728"/>
          </w:tcPr>
          <w:p>
            <w:r>
              <w:t>0.0368</w:t>
            </w:r>
          </w:p>
        </w:tc>
      </w:tr>
      <w:tr>
        <w:tc>
          <w:tcPr>
            <w:tcW w:type="dxa" w:w="1728"/>
          </w:tcPr>
          <w:p>
            <w:r>
              <w:t>AGO</w:t>
            </w:r>
          </w:p>
        </w:tc>
        <w:tc>
          <w:tcPr>
            <w:tcW w:type="dxa" w:w="1728"/>
          </w:tcPr>
          <w:p>
            <w:r>
              <w:t>0.1847</w:t>
            </w:r>
          </w:p>
        </w:tc>
        <w:tc>
          <w:tcPr>
            <w:tcW w:type="dxa" w:w="1728"/>
          </w:tcPr>
          <w:p>
            <w:r>
              <w:t>0.1672</w:t>
            </w:r>
          </w:p>
        </w:tc>
        <w:tc>
          <w:tcPr>
            <w:tcW w:type="dxa" w:w="1728"/>
          </w:tcPr>
          <w:p>
            <w:r>
              <w:t>0.2026</w:t>
            </w:r>
          </w:p>
        </w:tc>
        <w:tc>
          <w:tcPr>
            <w:tcW w:type="dxa" w:w="1728"/>
          </w:tcPr>
          <w:p>
            <w:r>
              <w:t>0.0355</w:t>
            </w:r>
          </w:p>
        </w:tc>
      </w:tr>
      <w:tr>
        <w:tc>
          <w:tcPr>
            <w:tcW w:type="dxa" w:w="1728"/>
          </w:tcPr>
          <w:p>
            <w:r>
              <w:t>SYC</w:t>
            </w:r>
          </w:p>
        </w:tc>
        <w:tc>
          <w:tcPr>
            <w:tcW w:type="dxa" w:w="1728"/>
          </w:tcPr>
          <w:p>
            <w:r>
              <w:t>0.1481</w:t>
            </w:r>
          </w:p>
        </w:tc>
        <w:tc>
          <w:tcPr>
            <w:tcW w:type="dxa" w:w="1728"/>
          </w:tcPr>
          <w:p>
            <w:r>
              <w:t>0.1312</w:t>
            </w:r>
          </w:p>
        </w:tc>
        <w:tc>
          <w:tcPr>
            <w:tcW w:type="dxa" w:w="1728"/>
          </w:tcPr>
          <w:p>
            <w:r>
              <w:t>0.1654</w:t>
            </w:r>
          </w:p>
        </w:tc>
        <w:tc>
          <w:tcPr>
            <w:tcW w:type="dxa" w:w="1728"/>
          </w:tcPr>
          <w:p>
            <w:r>
              <w:t>0.0342</w:t>
            </w:r>
          </w:p>
        </w:tc>
      </w:tr>
      <w:tr>
        <w:tc>
          <w:tcPr>
            <w:tcW w:type="dxa" w:w="1728"/>
          </w:tcPr>
          <w:p>
            <w:r>
              <w:t>ZAF</w:t>
            </w:r>
          </w:p>
        </w:tc>
        <w:tc>
          <w:tcPr>
            <w:tcW w:type="dxa" w:w="1728"/>
          </w:tcPr>
          <w:p>
            <w:r>
              <w:t>0.1921</w:t>
            </w:r>
          </w:p>
        </w:tc>
        <w:tc>
          <w:tcPr>
            <w:tcW w:type="dxa" w:w="1728"/>
          </w:tcPr>
          <w:p>
            <w:r>
              <w:t>0.1759</w:t>
            </w:r>
          </w:p>
        </w:tc>
        <w:tc>
          <w:tcPr>
            <w:tcW w:type="dxa" w:w="1728"/>
          </w:tcPr>
          <w:p>
            <w:r>
              <w:t>0.2081</w:t>
            </w:r>
          </w:p>
        </w:tc>
        <w:tc>
          <w:tcPr>
            <w:tcW w:type="dxa" w:w="1728"/>
          </w:tcPr>
          <w:p>
            <w:r>
              <w:t>0.0323</w:t>
            </w:r>
          </w:p>
        </w:tc>
      </w:tr>
      <w:tr>
        <w:tc>
          <w:tcPr>
            <w:tcW w:type="dxa" w:w="1728"/>
          </w:tcPr>
          <w:p>
            <w:r>
              <w:t>ZMB</w:t>
            </w:r>
          </w:p>
        </w:tc>
        <w:tc>
          <w:tcPr>
            <w:tcW w:type="dxa" w:w="1728"/>
          </w:tcPr>
          <w:p>
            <w:r>
              <w:t>0.1569</w:t>
            </w:r>
          </w:p>
        </w:tc>
        <w:tc>
          <w:tcPr>
            <w:tcW w:type="dxa" w:w="1728"/>
          </w:tcPr>
          <w:p>
            <w:r>
              <w:t>0.1409</w:t>
            </w:r>
          </w:p>
        </w:tc>
        <w:tc>
          <w:tcPr>
            <w:tcW w:type="dxa" w:w="1728"/>
          </w:tcPr>
          <w:p>
            <w:r>
              <w:t>0.1728</w:t>
            </w:r>
          </w:p>
        </w:tc>
        <w:tc>
          <w:tcPr>
            <w:tcW w:type="dxa" w:w="1728"/>
          </w:tcPr>
          <w:p>
            <w:r>
              <w:t>0.0319</w:t>
            </w:r>
          </w:p>
        </w:tc>
      </w:tr>
    </w:tbl>
    <w:p/>
    <w:p>
      <w:pPr>
        <w:pStyle w:val="Heading1"/>
      </w:pPr>
      <w:r>
        <w:rPr>
          <w:color w:val="1F4E79"/>
        </w:rPr>
        <w:t>Conclusion pour le Conseil scientifique</w:t>
      </w:r>
    </w:p>
    <w:p>
      <w:r>
        <w:rPr>
          <w:b w:val="0"/>
          <w:i/>
        </w:rPr>
        <w:t>L'ISA presente des sensibilites significatives. Le Conseil scientifique doit examiner en priorite les choix de ponderation et la politique d'imputation avant certification de la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