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40"/>
              <w:left w:type="dxa" w:w="360"/>
              <w:bottom w:type="dxa" w:w="240"/>
              <w:right w:type="dxa" w:w="360"/>
            </w:tcMar>
          </w:tcPr>
          <w:p>
            <w:pPr>
              <w:jc w:val="center"/>
            </w:pPr>
            <w:r>
              <w:rPr>
                <w:rFonts w:ascii="Arial" w:cs="Arial" w:eastAsia="Arial" w:hAnsi="Arial"/>
                <w:b/>
                <w:bCs/>
                <w:color w:val="FFFFFF"/>
                <w:sz w:val="28"/>
                <w:szCs w:val="28"/>
              </w:rPr>
              <w:t xml:space="preserve">OBSERVATOIRE DE LA SOUVERAINETÉ AFRICAINE</w:t>
            </w:r>
          </w:p>
          <w:p>
            <w:pPr>
              <w:jc w:val="center"/>
            </w:pPr>
            <w:r>
              <w:rPr>
                <w:rFonts w:ascii="Arial" w:cs="Arial" w:eastAsia="Arial" w:hAnsi="Arial"/>
                <w:b/>
                <w:bCs/>
                <w:color w:val="FFFFFF"/>
                <w:sz w:val="44"/>
                <w:szCs w:val="44"/>
              </w:rPr>
              <w:t xml:space="preserve">MODÈLE ÉCONOMIQUE</w:t>
            </w:r>
          </w:p>
          <w:p>
            <w:pPr>
              <w:jc w:val="center"/>
            </w:pPr>
            <w:r>
              <w:rPr>
                <w:rFonts w:ascii="Arial" w:cs="Arial" w:eastAsia="Arial" w:hAnsi="Arial"/>
                <w:i/>
                <w:iCs/>
                <w:color w:val="BDD7EE"/>
                <w:sz w:val="24"/>
                <w:szCs w:val="24"/>
              </w:rPr>
              <w:t xml:space="preserve">Autofinancement · Indépendance · Neutralité scientifique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00"/>
              <w:left w:type="dxa" w:w="240"/>
              <w:bottom w:type="dxa" w:w="100"/>
              <w:right w:type="dxa" w:w="240"/>
            </w:tcMar>
          </w:tcPr>
          <w:p>
            <w:pPr>
              <w:jc w:val="center"/>
            </w:pPr>
            <w:r>
              <w:rPr>
                <w:rFonts w:ascii="Arial" w:cs="Arial" w:eastAsia="Arial" w:hAnsi="Arial"/>
                <w:b/>
                <w:bCs/>
                <w:color w:val="FFFFFF"/>
                <w:sz w:val="20"/>
                <w:szCs w:val="20"/>
              </w:rPr>
              <w:t xml:space="preserve">Version 1.0 — Mai 2026 — Décision Sprint 12 — À consolider Sprint 13</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jc w:val="both"/>
            </w:pPr>
            <w:r>
              <w:rPr>
                <w:rFonts w:ascii="Arial" w:cs="Arial" w:eastAsia="Arial" w:hAnsi="Arial"/>
                <w:i/>
                <w:iCs/>
                <w:color w:val="1F4E79"/>
                <w:sz w:val="22"/>
                <w:szCs w:val="22"/>
              </w:rPr>
              <w:t xml:space="preserve">« L’indépendance financière de l’OSA est la condition structurelle de sa neutralité scientifique. Un observatoire dépendant d’un bailleur unique ne peut pas être neutre. L’autofinancement par les affiliations et les services n’est pas un objectif commercial — c’est une exigence de gouvernance. »</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1. 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40"/>
              <w:left w:type="dxa" w:w="120"/>
              <w:bottom w:type="dxa" w:w="140"/>
              <w:right w:type="dxa" w:w="120"/>
            </w:tcMar>
            <w:vAlign w:val="center"/>
          </w:tcPr>
          <w:p>
            <w:pPr>
              <w:jc w:val="center"/>
            </w:pPr>
            <w:r>
              <w:rPr>
                <w:rFonts w:ascii="Arial" w:cs="Arial" w:eastAsia="Arial" w:hAnsi="Arial"/>
                <w:b/>
                <w:bCs/>
                <w:color w:val="FFFFFF"/>
                <w:sz w:val="48"/>
                <w:szCs w:val="48"/>
              </w:rPr>
              <w:t xml:space="preserve">4</w:t>
            </w:r>
          </w:p>
          <w:p>
            <w:pPr>
              <w:jc w:val="center"/>
            </w:pPr>
            <w:r>
              <w:rPr>
                <w:rFonts w:ascii="Arial" w:cs="Arial" w:eastAsia="Arial" w:hAnsi="Arial"/>
                <w:b/>
                <w:bCs/>
                <w:color w:val="BDD7EE"/>
                <w:sz w:val="20"/>
                <w:szCs w:val="20"/>
              </w:rPr>
              <w:t xml:space="preserve">sources de revenus</w:t>
            </w:r>
          </w:p>
          <w:p>
            <w:pPr>
              <w:jc w:val="center"/>
            </w:pPr>
            <w:r>
              <w:rPr>
                <w:rFonts w:ascii="Arial" w:cs="Arial" w:eastAsia="Arial" w:hAnsi="Arial"/>
                <w:i/>
                <w:iCs/>
                <w:color w:val="BDD7EE"/>
                <w:sz w:val="18"/>
                <w:szCs w:val="18"/>
              </w:rPr>
              <w:t xml:space="preserve">autofinancement</w:t>
            </w:r>
          </w:p>
        </w:tc>
        <w:tc>
          <w:tcPr>
            <w:tcW w:type="dxa" w:w="2340"/>
            <w:tcBorders>
              <w:top w:val="single" w:color="CCCCCC" w:sz="1"/>
              <w:left w:val="single" w:color="CCCCCC" w:sz="1"/>
              <w:bottom w:val="single" w:color="CCCCCC" w:sz="1"/>
              <w:right w:val="single" w:color="CCCCCC" w:sz="1"/>
            </w:tcBorders>
            <w:shd w:fill="2E75B6" w:val="clear"/>
            <w:tcMar>
              <w:top w:type="dxa" w:w="140"/>
              <w:left w:type="dxa" w:w="120"/>
              <w:bottom w:type="dxa" w:w="140"/>
              <w:right w:type="dxa" w:w="120"/>
            </w:tcMar>
            <w:vAlign w:val="center"/>
          </w:tcPr>
          <w:p>
            <w:pPr>
              <w:jc w:val="center"/>
            </w:pPr>
            <w:r>
              <w:rPr>
                <w:rFonts w:ascii="Arial" w:cs="Arial" w:eastAsia="Arial" w:hAnsi="Arial"/>
                <w:b/>
                <w:bCs/>
                <w:color w:val="FFFFFF"/>
                <w:sz w:val="48"/>
                <w:szCs w:val="48"/>
              </w:rPr>
              <w:t xml:space="preserve">2</w:t>
            </w:r>
          </w:p>
          <w:p>
            <w:pPr>
              <w:jc w:val="center"/>
            </w:pPr>
            <w:r>
              <w:rPr>
                <w:rFonts w:ascii="Arial" w:cs="Arial" w:eastAsia="Arial" w:hAnsi="Arial"/>
                <w:b/>
                <w:bCs/>
                <w:color w:val="BDD7EE"/>
                <w:sz w:val="20"/>
                <w:szCs w:val="20"/>
              </w:rPr>
              <w:t xml:space="preserve">niveaux d’affiliation</w:t>
            </w:r>
          </w:p>
          <w:p>
            <w:pPr>
              <w:jc w:val="center"/>
            </w:pPr>
            <w:r>
              <w:rPr>
                <w:rFonts w:ascii="Arial" w:cs="Arial" w:eastAsia="Arial" w:hAnsi="Arial"/>
                <w:i/>
                <w:iCs/>
                <w:color w:val="BDD7EE"/>
                <w:sz w:val="18"/>
                <w:szCs w:val="18"/>
              </w:rPr>
              <w:t xml:space="preserve">Standard + Premium</w:t>
            </w:r>
          </w:p>
        </w:tc>
        <w:tc>
          <w:tcPr>
            <w:tcW w:type="dxa" w:w="2340"/>
            <w:tcBorders>
              <w:top w:val="single" w:color="CCCCCC" w:sz="1"/>
              <w:left w:val="single" w:color="CCCCCC" w:sz="1"/>
              <w:bottom w:val="single" w:color="CCCCCC" w:sz="1"/>
              <w:right w:val="single" w:color="CCCCCC" w:sz="1"/>
            </w:tcBorders>
            <w:shd w:fill="C55A11" w:val="clear"/>
            <w:tcMar>
              <w:top w:type="dxa" w:w="140"/>
              <w:left w:type="dxa" w:w="120"/>
              <w:bottom w:type="dxa" w:w="140"/>
              <w:right w:type="dxa" w:w="120"/>
            </w:tcMar>
            <w:vAlign w:val="center"/>
          </w:tcPr>
          <w:p>
            <w:pPr>
              <w:jc w:val="center"/>
            </w:pPr>
            <w:r>
              <w:rPr>
                <w:rFonts w:ascii="Arial" w:cs="Arial" w:eastAsia="Arial" w:hAnsi="Arial"/>
                <w:b/>
                <w:bCs/>
                <w:color w:val="FFFFFF"/>
                <w:sz w:val="48"/>
                <w:szCs w:val="48"/>
              </w:rPr>
              <w:t xml:space="preserve">54</w:t>
            </w:r>
          </w:p>
          <w:p>
            <w:pPr>
              <w:jc w:val="center"/>
            </w:pPr>
            <w:r>
              <w:rPr>
                <w:rFonts w:ascii="Arial" w:cs="Arial" w:eastAsia="Arial" w:hAnsi="Arial"/>
                <w:b/>
                <w:bCs/>
                <w:color w:val="BDD7EE"/>
                <w:sz w:val="20"/>
                <w:szCs w:val="20"/>
              </w:rPr>
              <w:t xml:space="preserve">pays africains</w:t>
            </w:r>
          </w:p>
          <w:p>
            <w:pPr>
              <w:jc w:val="center"/>
            </w:pPr>
            <w:r>
              <w:rPr>
                <w:rFonts w:ascii="Arial" w:cs="Arial" w:eastAsia="Arial" w:hAnsi="Arial"/>
                <w:i/>
                <w:iCs/>
                <w:color w:val="BDD7EE"/>
                <w:sz w:val="18"/>
                <w:szCs w:val="18"/>
              </w:rPr>
              <w:t xml:space="preserve">marché adressable</w:t>
            </w:r>
          </w:p>
        </w:tc>
        <w:tc>
          <w:tcPr>
            <w:tcW w:type="dxa" w:w="2340"/>
            <w:tcBorders>
              <w:top w:val="single" w:color="CCCCCC" w:sz="1"/>
              <w:left w:val="single" w:color="CCCCCC" w:sz="1"/>
              <w:bottom w:val="single" w:color="CCCCCC" w:sz="1"/>
              <w:right w:val="single" w:color="CCCCCC" w:sz="1"/>
            </w:tcBorders>
            <w:shd w:fill="375623" w:val="clear"/>
            <w:tcMar>
              <w:top w:type="dxa" w:w="140"/>
              <w:left w:type="dxa" w:w="120"/>
              <w:bottom w:type="dxa" w:w="140"/>
              <w:right w:type="dxa" w:w="120"/>
            </w:tcMar>
            <w:vAlign w:val="center"/>
          </w:tcPr>
          <w:p>
            <w:pPr>
              <w:jc w:val="center"/>
            </w:pPr>
            <w:r>
              <w:rPr>
                <w:rFonts w:ascii="Arial" w:cs="Arial" w:eastAsia="Arial" w:hAnsi="Arial"/>
                <w:b/>
                <w:bCs/>
                <w:color w:val="FFFFFF"/>
                <w:sz w:val="48"/>
                <w:szCs w:val="48"/>
              </w:rPr>
              <w:t xml:space="preserve">2027</w:t>
            </w:r>
          </w:p>
          <w:p>
            <w:pPr>
              <w:jc w:val="center"/>
            </w:pPr>
            <w:r>
              <w:rPr>
                <w:rFonts w:ascii="Arial" w:cs="Arial" w:eastAsia="Arial" w:hAnsi="Arial"/>
                <w:b/>
                <w:bCs/>
                <w:color w:val="BDD7EE"/>
                <w:sz w:val="20"/>
                <w:szCs w:val="20"/>
              </w:rPr>
              <w:t xml:space="preserve">lancement commercial</w:t>
            </w:r>
          </w:p>
          <w:p>
            <w:pPr>
              <w:jc w:val="center"/>
            </w:pPr>
            <w:r>
              <w:rPr>
                <w:rFonts w:ascii="Arial" w:cs="Arial" w:eastAsia="Arial" w:hAnsi="Arial"/>
                <w:i/>
                <w:iCs/>
                <w:color w:val="BDD7EE"/>
                <w:sz w:val="18"/>
                <w:szCs w:val="18"/>
              </w:rPr>
              <w:t xml:space="preserve">septembre 2027</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Nature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Modèle de tarification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S1 — Affiliation standard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Accès Couche 1 P7J — scores trajectoire + actions souveraines + piliers</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Tarif public annuel — abonnement institutionnel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S2 — Affiliation premium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Accès Couche 2 P7J — simulations CENTRAL/STRESS + IC P5-P95 + alertes AMAR</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Tarif public annuel — abonnement premium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S3 — Études de faisabilité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Analyse souveraine approfondie sur demande — pays / pilier / période</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Forfait diagnostic + régie mise en oeuvre — sur demande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S4 — Gestion de projet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Accompagnement implémentation recommandations P7J — ministères et agences</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Forfait diagnostic + régie jours/homme — sur demande</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2. Affiliation standard — Couche 1</w:t>
      </w:r>
    </w:p>
    <w:p>
      <w:pPr>
        <w:pStyle w:val="Heading2"/>
        <w:spacing w:after="120" w:before="240"/>
      </w:pPr>
      <w:r>
        <w:rPr>
          <w:rFonts w:ascii="Arial" w:cs="Arial" w:eastAsia="Arial" w:hAnsi="Arial"/>
          <w:b/>
          <w:bCs/>
          <w:color w:val="2E75B6"/>
          <w:sz w:val="26"/>
          <w:szCs w:val="26"/>
        </w:rPr>
        <w:t xml:space="preserve">Public cible</w:t>
      </w:r>
    </w:p>
    <w:p>
      <w:pPr>
        <w:spacing w:after="80" w:before="80"/>
        <w:jc w:val="both"/>
      </w:pPr>
      <w:r>
        <w:rPr>
          <w:rFonts w:ascii="Arial" w:cs="Arial" w:eastAsia="Arial" w:hAnsi="Arial"/>
          <w:b w:val="false"/>
          <w:bCs w:val="false"/>
          <w:i w:val="false"/>
          <w:iCs w:val="false"/>
          <w:color w:val="000000"/>
          <w:sz w:val="22"/>
          <w:szCs w:val="22"/>
        </w:rPr>
        <w:t xml:space="preserve">Ministères africains et agences gouvernementales. Ce sont les premiers bénéficiaires naturels de l’ISA — ils ont besoin de diagnostics souverains par pilier pour orienter leurs politiques sectorielles. L’OSA leur offre ce que les indices internationaux ne fournissent pas : une lecture de leur propre trajectoire, pas un classement relatif.</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Contenu de l’accès Couche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Donnée accessible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Valeur pour le ministère affilié</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Score ISA observé par pilier (2010-2024)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Position souveraine actuelle et historique sur 15 ans par secteur</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Classe trajectoire (ACCELERATING / CRITICAL)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Signal clair sur la direction : le pilier progresse-t-il ou se dégrade-t-il ?</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Pente de trajectoire (trend_slope)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Vitesse de progression ou de dégradation — permet de prioriser les interventions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Action souveraine recommandée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CONSOLIDATE_AND_SCALE / SUSTAIN_AND_OPTIMIZE / IDENTIFY_UNLOCK_LEVERS / DIAGNOSE_AND_CORRECT / URGENT_INTERVENTION_REQUIRED</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Famille d’intervention + thème de consultation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Orientation sectorielle concrète : diversification économique, capital humain, souveraineté numérique…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Score de priorité d’intervention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Classement interne des piliers selon l’urgence d’intervention — aide à l’arbitrage budgétaire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Accès API REST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Intégration dans les systèmes d’information des ministères. Format JSON + OpenAPI 3.1.</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Tarification publique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Formule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Tarif annuel</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Inclus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Ministère — 1 pilier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À définir Sprint 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Accès Couche 1 pour 1 pilier, 1 pays, 2010-2024. Rapport annuel PDF. Support email.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Ministère — 5 piliers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À définir Sprint 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Accès Couche 1 pour 5 piliers, 1 pays, 2010-2024. Tableau de bord dédié. Support prioritaire.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Ministère — 10 piliers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À définir Sprint 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Accès Couche 1 complet, 1 pays, 2010-2024. Tableau de bord interactif. Rapport semestriel. Support dédié.</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Agence gouvernementale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À définir Sprint 13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Accès Couche 1 sectoriel (piliers liés au mandat de l’agence). Format adapté.</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60"/>
              <w:left w:type="dxa" w:w="240"/>
              <w:bottom w:type="dxa" w:w="160"/>
              <w:right w:type="dxa" w:w="240"/>
            </w:tcMar>
          </w:tcPr>
          <w:p>
            <w:pPr>
              <w:jc w:val="both"/>
            </w:pPr>
            <w:r>
              <w:rPr>
                <w:rFonts w:ascii="Arial" w:cs="Arial" w:eastAsia="Arial" w:hAnsi="Arial"/>
                <w:i/>
                <w:iCs/>
                <w:color w:val="375623"/>
                <w:sz w:val="22"/>
                <w:szCs w:val="22"/>
              </w:rPr>
              <w:t xml:space="preserve">Principe tarifaire OSA : les tarifs d’affiliation doivent être accessibles aux institutions africaines — pas calibrés sur les standards des cabinets de conseil occidentaux. L’objectif est la diffusion maximale de l’ISA, pas la maximisation du revenu unitaire.</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3. Affiliation premium — Couche 2</w:t>
      </w:r>
    </w:p>
    <w:p>
      <w:pPr>
        <w:pStyle w:val="Heading2"/>
        <w:spacing w:after="120" w:before="240"/>
      </w:pPr>
      <w:r>
        <w:rPr>
          <w:rFonts w:ascii="Arial" w:cs="Arial" w:eastAsia="Arial" w:hAnsi="Arial"/>
          <w:b/>
          <w:bCs/>
          <w:color w:val="2E75B6"/>
          <w:sz w:val="26"/>
          <w:szCs w:val="26"/>
        </w:rPr>
        <w:t xml:space="preserve">Public cible</w:t>
      </w:r>
    </w:p>
    <w:p>
      <w:pPr>
        <w:spacing w:after="80" w:before="80"/>
        <w:jc w:val="both"/>
      </w:pPr>
      <w:r>
        <w:rPr>
          <w:rFonts w:ascii="Arial" w:cs="Arial" w:eastAsia="Arial" w:hAnsi="Arial"/>
          <w:b w:val="false"/>
          <w:bCs w:val="false"/>
          <w:i w:val="false"/>
          <w:iCs w:val="false"/>
          <w:color w:val="000000"/>
          <w:sz w:val="22"/>
          <w:szCs w:val="22"/>
        </w:rPr>
        <w:t xml:space="preserve">Banques centrales, fonds souverains, institutions régionales (CEDEAO, UA, BAD), ministères des finances. Ces institutions ont besoin de projections, de scénarios de stress et d’alertes précoces pour des décisions à fort enjeu — politique monétaire, allocations budgétaires, négociations de dette.</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Contenu supplémentaire Couche 2 (en plus de la Couche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Donnée accessible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Valeur pour l’institution premium</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Simulation scénario CENTRAL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Delta ISA prévu sous politiques actuelles. Confiance de simulation.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Simulation scénario AMBITIOUS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Delta ISA si réformes ambitieuses implémentées. Aide au calibrage des objectifs.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Simulation scénario STRESS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Delta ISA en cas de choc exogène. Essentiel pour la gestion des risques souverains.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Intervalles de confiance P5–P95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Incertitude d’imputation par pays et par pilier. Indispensable pour les pays à faible couverture statistique.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Alertes AMAR (P7I)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Signaux précurseurs d’atrocités et de conflits. Distribution GREEN/YELLOW/ORANGE. Mis à jour à chaque publication.</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Alertes GENECO (P7I-GENECO)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Exposition à l’économie des conflits : capture ressources, logistique, capture institutionnelle.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Accès API premium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Endpoints /predictive/, /opportunities/, /alerts/ avec pagination et filtres avancés.</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Tarification publique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Formule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Tarif annuel</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Inclus</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Institution — 1 pays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À définir Sprint 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Couche 1 + 2 complètes pour 1 pays. Rapport prédictif semestriel.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Institution — régionale (5 pays)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À définir Sprint 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Couche 1 + 2 pour 5 pays. Dashboard régional. Briefing annuel avec le Secrétariat.</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Institution — continentale (54 pays)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À définir Sprint 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Accès complet Couche 1 + 2. Accs API sans restriction. Session annuelle Conseil scientifique.</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4. Études de faisabilité</w:t>
      </w:r>
    </w:p>
    <w:p>
      <w:pPr>
        <w:pStyle w:val="Heading2"/>
        <w:spacing w:after="120" w:before="240"/>
      </w:pPr>
      <w:r>
        <w:rPr>
          <w:rFonts w:ascii="Arial" w:cs="Arial" w:eastAsia="Arial" w:hAnsi="Arial"/>
          <w:b/>
          <w:bCs/>
          <w:color w:val="2E75B6"/>
          <w:sz w:val="26"/>
          <w:szCs w:val="26"/>
        </w:rPr>
        <w:t xml:space="preserve">Définition</w:t>
      </w:r>
    </w:p>
    <w:p>
      <w:pPr>
        <w:spacing w:after="80" w:before="80"/>
        <w:jc w:val="both"/>
      </w:pPr>
      <w:r>
        <w:rPr>
          <w:rFonts w:ascii="Arial" w:cs="Arial" w:eastAsia="Arial" w:hAnsi="Arial"/>
          <w:b w:val="false"/>
          <w:bCs w:val="false"/>
          <w:i w:val="false"/>
          <w:iCs w:val="false"/>
          <w:color w:val="000000"/>
          <w:sz w:val="22"/>
          <w:szCs w:val="22"/>
        </w:rPr>
        <w:t xml:space="preserve">Une étude de faisabilité OSA est une analyse souveraine approfondie commandée par un gouvernement, une institution régionale ou un investisseur stratégique. Elle va au-delà des données disponibles dans les couches 1 et 2 — elle mobilise l’expertise du Secrétariat technique et du Conseil scientifique pour répondre à une question souveraine spécifique.</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Modèle de tarification — Mixte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Phase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Contenu</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Tarification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Phase 1 — Diagnostic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Analyse des données ISA disponibles. Identification des lacunes. Note de cadrage. Délai : 15 jours ouvrables.</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Forfait fixe par pays x pilier analysé. Tarif sur demande.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Phase 2 — Mise en oeuvre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Collecte de données supplémentaires. Modélisation de scénarios spécifiques. Rapport final + recommandations actionnables.</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Régie jours/homme × tarif journalier. Estimation fournie après Phase 1.</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Exemples d’études de faisabilité</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Impact d’une réforme monétaire sur le score ISA PMON d’un pays — commande d’une banque centrale</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Analyse comparative de l’attractivité minière de 5 pays pour un fonds d’investissement</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Diagnostic de souveraineté numérique pour un ministère du digital — benchmark 10 pays africains</w:t>
      </w:r>
    </w:p>
    <w:p>
      <w:pPr>
        <w:spacing w:after="60" w:before="60"/>
        <w:ind w:left="400"/>
      </w:pPr>
      <w:r>
        <w:rPr>
          <w:rFonts w:ascii="Arial" w:cs="Arial" w:eastAsia="Arial" w:hAnsi="Arial"/>
          <w:color w:val="C55A11"/>
          <w:sz w:val="22"/>
          <w:szCs w:val="22"/>
        </w:rPr>
        <w:t xml:space="preserve">•  </w:t>
      </w:r>
      <w:r>
        <w:rPr>
          <w:rFonts w:ascii="Arial" w:cs="Arial" w:eastAsia="Arial" w:hAnsi="Arial"/>
          <w:sz w:val="22"/>
          <w:szCs w:val="22"/>
        </w:rPr>
        <w:t xml:space="preserve">Feuille de route d’amélioration ISA sur 5 ans — 4 piliers — commande d’un ministère du plan</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5. Gestion de projet</w:t>
      </w:r>
    </w:p>
    <w:p>
      <w:pPr>
        <w:pStyle w:val="Heading2"/>
        <w:spacing w:after="120" w:before="240"/>
      </w:pPr>
      <w:r>
        <w:rPr>
          <w:rFonts w:ascii="Arial" w:cs="Arial" w:eastAsia="Arial" w:hAnsi="Arial"/>
          <w:b/>
          <w:bCs/>
          <w:color w:val="2E75B6"/>
          <w:sz w:val="26"/>
          <w:szCs w:val="26"/>
        </w:rPr>
        <w:t xml:space="preserve">Définition</w:t>
      </w:r>
    </w:p>
    <w:p>
      <w:pPr>
        <w:spacing w:after="80" w:before="80"/>
        <w:jc w:val="both"/>
      </w:pPr>
      <w:r>
        <w:rPr>
          <w:rFonts w:ascii="Arial" w:cs="Arial" w:eastAsia="Arial" w:hAnsi="Arial"/>
          <w:b w:val="false"/>
          <w:bCs w:val="false"/>
          <w:i w:val="false"/>
          <w:iCs w:val="false"/>
          <w:color w:val="000000"/>
          <w:sz w:val="22"/>
          <w:szCs w:val="22"/>
        </w:rPr>
        <w:t xml:space="preserve">La gestion de projet OSA est l’accompagnement opérationnel de la mise en oeuvre des recommandations P7J. Le Secrétariat technique OSA pilote ou co-pilote le projet avec les équipes du ministère ou de l’agence. Il fournit un suivi ISA régulier pour mesurer l’impact des décisions prises.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Modèle de tarification — Mixte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Composante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Contenu</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Tarification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Forfait diagnostic initial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Analyse de l’écart entre la situation ISA actuelle et les objectifs du projet. Cadrage des indicateurs de suivi.</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Forfait fixe. Tarif sur demande.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Régie mise en oeuvre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Accompagnement méthodologique. Comités de pilotage. Rapports d’étape ISA. Formation des équipes.</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Jours/homme × tarif journalier. Facturation mensuelle.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Rapport d’impact final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Mesure de l’évolution ISA post-projet. Document certifié par le Conseil scientifique si demandé.</w:t>
            </w:r>
          </w:p>
        </w:tc>
        <w:tc>
          <w:tcPr>
            <w:tcW w:type="dxa" w:w="3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Inclus dans la régie ou forfait optionnel.</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60"/>
              <w:left w:type="dxa" w:w="240"/>
              <w:bottom w:type="dxa" w:w="160"/>
              <w:right w:type="dxa" w:w="240"/>
            </w:tcMar>
          </w:tcPr>
          <w:p>
            <w:pPr>
              <w:jc w:val="both"/>
            </w:pPr>
            <w:r>
              <w:rPr>
                <w:rFonts w:ascii="Arial" w:cs="Arial" w:eastAsia="Arial" w:hAnsi="Arial"/>
                <w:i/>
                <w:iCs/>
                <w:color w:val="375623"/>
                <w:sz w:val="22"/>
                <w:szCs w:val="22"/>
              </w:rPr>
              <w:t xml:space="preserve">La gestion de projet OSA n’est pas du conseil stratégique généraliste. Elle est entièrement ancrée dans les données ISA et les recommandations P7J. Chaque décision de projet est mesurée par son impact sur les indicateurs souverains observés.</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6. Politique de transparence tarifaire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Source de revenu</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Visibilité tarifaire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Modalité</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Affiliation standard (S1)</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Tarif public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Publié sur le site OSA. Mise à jour annuelle avant le 1er janvier.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Affiliation premium (S2)</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 Tarif public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Publié sur le site OSA. Mise à jour annuelle avant le 1er janvier.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Étude de faisabilité (S3)</w:t>
            </w:r>
          </w:p>
        </w:tc>
        <w:tc>
          <w:tcPr>
            <w:tcW w:type="dxa" w:w="3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Sur demande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Estimation fournie après cahier des charges. Délai de réponse : 5 jours ouvrables.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Gestion de projet (S4)</w:t>
            </w:r>
          </w:p>
        </w:tc>
        <w:tc>
          <w:tcPr>
            <w:tcW w:type="dxa" w:w="3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Sur demande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Estimation fournie après diagnostic initial. Devis détaillé par phase.</w:t>
            </w:r>
          </w:p>
        </w:tc>
      </w:tr>
    </w:tbl>
    <w:p>
      <w:pPr>
        <w:spacing w:after="100" w:before="100"/>
      </w:pPr>
      <w:r>
        <w:t xml:space="preserve"/>
      </w:r>
    </w:p>
    <w:p>
      <w:pPr>
        <w:spacing w:after="80" w:before="80"/>
        <w:jc w:val="both"/>
      </w:pPr>
      <w:r>
        <w:rPr>
          <w:rFonts w:ascii="Arial" w:cs="Arial" w:eastAsia="Arial" w:hAnsi="Arial"/>
          <w:b w:val="false"/>
          <w:bCs w:val="false"/>
          <w:i w:val="false"/>
          <w:iCs w:val="false"/>
          <w:color w:val="000000"/>
          <w:sz w:val="22"/>
          <w:szCs w:val="22"/>
        </w:rPr>
        <w:t xml:space="preserve">Principe de réciprocité : tout gouvernement africain qui contribue à l’amélioration de la couverture statistique nationale (transmission de données supplémentaires) bénéficie d’une réduction tarifaire à définir Sprint 13.</w:t>
      </w:r>
    </w:p>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7. Budget prévisionnel — Horizon 2027–2030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160"/>
              <w:left w:type="dxa" w:w="240"/>
              <w:bottom w:type="dxa" w:w="160"/>
              <w:right w:type="dxa" w:w="240"/>
            </w:tcMar>
          </w:tcPr>
          <w:p>
            <w:pPr>
              <w:jc w:val="both"/>
            </w:pPr>
            <w:r>
              <w:rPr>
                <w:rFonts w:ascii="Arial" w:cs="Arial" w:eastAsia="Arial" w:hAnsi="Arial"/>
                <w:i/>
                <w:iCs/>
                <w:color w:val="C55A11"/>
                <w:sz w:val="22"/>
                <w:szCs w:val="22"/>
              </w:rPr>
              <w:t xml:space="preserve">Les montants ci-dessous sont des ordres de grandeur provisoires. La décision définitive sur les tarifs et les projections financières est inscrite Sprint 13 avant décembre 2026.</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9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Poste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2027</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2028</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2029</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Unité</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Affiliations standard (S1)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15–25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30–50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K USD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Affiliations premium (S2)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10–20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25–50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50–100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K USD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Études de faisabilité (S3)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10–30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30–80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50–150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K USD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Gestions de projet (S4)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0–20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50–150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K USD</w:t>
            </w:r>
          </w:p>
        </w:tc>
      </w:tr>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 ESTIMÉ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25–80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90–215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180–450</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000000"/>
                <w:sz w:val="20"/>
                <w:szCs w:val="20"/>
              </w:rPr>
              <w:t xml:space="preserve">K USD</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Affectation des revenus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Destination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Part estimée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Fonctionnement Secrétariat technique (infrastructure, collecte,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40–50 %</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Conseil scientifique panafricain (indemnités, sessions, déplacements)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15–20 % — objectif couverture complète dès 2028</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Développement méthodologique (nouveaux indicateurs, collecte EITI, terrain)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20–25 %</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i w:val="false"/>
                <w:iCs w:val="false"/>
                <w:color w:val="1F4E79"/>
                <w:sz w:val="20"/>
                <w:szCs w:val="20"/>
              </w:rPr>
              <w:t xml:space="preserve">Réserve de neutralité (fonds de garantie indépendance)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10–15 % — objectif 6 mois de fonctionnement en réserve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jc w:val="both"/>
            </w:pPr>
            <w:r>
              <w:rPr>
                <w:rFonts w:ascii="Arial" w:cs="Arial" w:eastAsia="Arial" w:hAnsi="Arial"/>
                <w:i/>
                <w:iCs/>
                <w:color w:val="1F4E79"/>
                <w:sz w:val="22"/>
                <w:szCs w:val="22"/>
              </w:rPr>
              <w:t xml:space="preserve">Règle fondatrice : aucun bailleur ne peut financer plus de 30 % du budget annuel de l’OSA. Cette règle est inscrite dans la Charte de neutralité scientifique (Article 11) et s’applique à toutes les sources de revenus, y compris les affiliations institutionnelles.</w:t>
            </w:r>
          </w:p>
        </w:tc>
      </w:tr>
    </w:tbl>
    <w:p>
      <w:pPr>
        <w:spacing w:after="100" w:before="100"/>
      </w:pPr>
      <w:r>
        <w:t xml:space="preserve"/>
      </w:r>
    </w:p>
    <w:p>
      <w:pPr>
        <w:pStyle w:val="Heading1"/>
        <w:pBdr>
          <w:bottom w:val="single" w:color="1F4E79" w:sz="8" w:space="4"/>
        </w:pBdr>
        <w:spacing w:after="180" w:before="360"/>
      </w:pPr>
      <w:r>
        <w:rPr>
          <w:rFonts w:ascii="Arial" w:cs="Arial" w:eastAsia="Arial" w:hAnsi="Arial"/>
          <w:b/>
          <w:bCs/>
          <w:color w:val="1F4E79"/>
          <w:sz w:val="34"/>
          <w:szCs w:val="34"/>
        </w:rPr>
        <w:t xml:space="preserve">8. Prochaines étapes — Sprint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50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Prio.</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Décision</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jc w:val="left"/>
            </w:pPr>
            <w:r>
              <w:rPr>
                <w:rFonts w:ascii="Arial" w:cs="Arial" w:eastAsia="Arial" w:hAnsi="Arial"/>
                <w:b/>
                <w:bCs/>
                <w:i w:val="false"/>
                <w:iCs w:val="false"/>
                <w:color w:val="FFFFFF"/>
                <w:sz w:val="20"/>
                <w:szCs w:val="20"/>
              </w:rPr>
              <w:t xml:space="preserve">Livrable attendu</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P1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Arrêter les tarifs d’affiliation S1 et S2</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Grille tarifaire publiable sur le site OSA avant janvier 2027</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00000"/>
                <w:sz w:val="20"/>
                <w:szCs w:val="20"/>
              </w:rPr>
              <w:t xml:space="preserve">P1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Définir le tarif journalier de régie pour S3 et S4</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Grille de régie interne + modèle de devis standard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P2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Créer la page affiliation sur le site OSA</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Page publique avec formulaire de contact + grille tarifaire S1/S2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C55A11"/>
                <w:sz w:val="20"/>
                <w:szCs w:val="20"/>
              </w:rPr>
              <w:t xml:space="preserve">P2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Définir le principe de réciprocité statistique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Protocole d’échange de données contre réduction tarifaire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P3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Identifier les 5 premiers prospects d’affiliation standard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Liste de ministères cibles + stratégie d’approche institutionnelle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75623"/>
                <w:sz w:val="20"/>
                <w:szCs w:val="20"/>
              </w:rPr>
              <w:t xml:space="preserve">P3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Définir la rémunération définitive du Conseil scientifique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000000"/>
                <w:sz w:val="20"/>
                <w:szCs w:val="20"/>
              </w:rPr>
              <w:t xml:space="preserve">Décision avant décembre 2026 selon budget consolidé</w:t>
            </w:r>
          </w:p>
        </w:tc>
      </w:tr>
    </w:tbl>
    <w:p>
      <w:pPr>
        <w:spacing w:after="100" w:before="100"/>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320"/>
              <w:bottom w:type="dxa" w:w="200"/>
              <w:right w:type="dxa" w:w="320"/>
            </w:tcMar>
          </w:tcPr>
          <w:p>
            <w:pPr>
              <w:jc w:val="center"/>
            </w:pPr>
            <w:r>
              <w:rPr>
                <w:rFonts w:ascii="Arial" w:cs="Arial" w:eastAsia="Arial" w:hAnsi="Arial"/>
                <w:b/>
                <w:bCs/>
                <w:color w:val="FFFFFF"/>
                <w:sz w:val="28"/>
                <w:szCs w:val="28"/>
              </w:rPr>
              <w:t xml:space="preserve">L’autofinancement OSA est une doctrine, pas un objectif commercial.</w:t>
            </w:r>
          </w:p>
          <w:p>
            <w:pPr>
              <w:jc w:val="center"/>
            </w:pPr>
            <w:r>
              <w:rPr>
                <w:rFonts w:ascii="Arial" w:cs="Arial" w:eastAsia="Arial" w:hAnsi="Arial"/>
                <w:i/>
                <w:iCs/>
                <w:color w:val="BDD7EE"/>
                <w:sz w:val="24"/>
                <w:szCs w:val="24"/>
              </w:rPr>
              <w:t xml:space="preserve">Chaque affiliation finance l’indépendance scientifique de l’Afrique.</w:t>
            </w:r>
          </w:p>
        </w:tc>
      </w:tr>
    </w:tbl>
    <w:p>
      <w:pPr>
        <w:spacing w:after="100" w:before="100"/>
      </w:pPr>
      <w:r>
        <w:t xml:space="preserve"/>
      </w:r>
    </w:p>
    <w:p>
      <w:pPr>
        <w:spacing w:before="240"/>
        <w:jc w:val="center"/>
      </w:pPr>
      <w:r>
        <w:rPr>
          <w:rFonts w:ascii="Arial" w:cs="Arial" w:eastAsia="Arial" w:hAnsi="Arial"/>
          <w:i/>
          <w:iCs/>
          <w:color w:val="888888"/>
          <w:sz w:val="18"/>
          <w:szCs w:val="18"/>
        </w:rPr>
        <w:t xml:space="preserve">Observatoire de la Souveraineté Africaine — Modèle économique v1.0 — Mai 2026 — Confidentiel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OSA Observatory — Modèle économique — Version 1.0 — Mai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2026-05-25T16:37:41.126Z</dcterms:created>
  <dcterms:modified xsi:type="dcterms:W3CDTF">2026-05-25T16:37:41.138Z</dcterms:modified>
</cp:coreProperties>
</file>

<file path=docProps/custom.xml><?xml version="1.0" encoding="utf-8"?>
<Properties xmlns="http://schemas.openxmlformats.org/officeDocument/2006/custom-properties" xmlns:vt="http://schemas.openxmlformats.org/officeDocument/2006/docPropsVTypes"/>
</file>