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A5A"/>
          <w:spacing w:val="20"/>
          <w:sz w:val="20"/>
          <w:szCs w:val="20"/>
        </w:rPr>
        <w:t xml:space="preserve">OSA OBSERVATORY</w:t>
      </w:r>
    </w:p>
    <w:p>
      <w:pPr>
        <w:spacing w:after="40"/>
      </w:pPr>
      <w:r>
        <w:rPr>
          <w:i/>
          <w:iCs/>
          <w:color w:val="5A7A5A"/>
          <w:sz w:val="18"/>
          <w:szCs w:val="18"/>
        </w:rPr>
        <w:t xml:space="preserve">Observatoire de la Souveraineté Africaine</w:t>
      </w:r>
    </w:p>
    <w:p>
      <w:pPr>
        <w:spacing w:after="0" w:before="200"/>
      </w:pPr>
      <w:r>
        <w:rPr>
          <w:b/>
          <w:bCs/>
          <w:color w:val="0F4A1A"/>
          <w:sz w:val="40"/>
          <w:szCs w:val="40"/>
        </w:rPr>
        <w:t xml:space="preserve">Note de cadrage — Gouvernance de l'identité</w:t>
      </w:r>
    </w:p>
    <w:p>
      <w:pPr>
        <w:spacing w:after="0" w:before="60"/>
      </w:pPr>
      <w:r>
        <w:rPr>
          <w:b/>
          <w:bCs/>
          <w:color w:val="C8973A"/>
          <w:sz w:val="24"/>
          <w:szCs w:val="24"/>
        </w:rPr>
        <w:t xml:space="preserve">Identité, authentification, affiliation — séparation et propagation contrôlée</w:t>
      </w:r>
    </w:p>
    <w:p>
      <w:pPr>
        <w:spacing w:after="0" w:before="40"/>
      </w:pPr>
      <w:r>
        <w:rPr>
          <w:i/>
          <w:iCs/>
          <w:color w:val="5A7A5A"/>
          <w:sz w:val="22"/>
          <w:szCs w:val="22"/>
        </w:rPr>
        <w:t xml:space="preserve">11 juillet 2026</w:t>
      </w:r>
    </w:p>
    <w:p>
      <w:pPr>
        <w:pBdr>
          <w:bottom w:val="single" w:color="C8973A" w:sz="6"/>
        </w:pBdr>
        <w:spacing w:after="240" w:before="120"/>
      </w:pPr>
    </w:p>
    <w:tbl>
      <w:tblPr>
        <w:tblW w:type="dxa" w:w="9600"/>
        <w:tblBorders>
          <w:top w:val="none"/>
          <w:left w:val="none"/>
          <w:bottom w:val="none"/>
          <w:right w:val="none"/>
          <w:insideH w:val="none"/>
          <w:insideV w:val="none"/>
        </w:tblBorders>
      </w:tblPr>
      <w:tblGrid>
        <w:gridCol w:w="2400"/>
        <w:gridCol w:w="7200"/>
      </w:tblGrid>
      <w:tr>
        <w:tc>
          <w:tcPr>
            <w:tcW w:type="dxa" w:w="2400"/>
            <w:shd w:fill="F4F8F4" w:val="clear"/>
            <w:tcMar>
              <w:top w:type="dxa" w:w="100"/>
              <w:left w:type="dxa" w:w="120"/>
              <w:bottom w:type="dxa" w:w="100"/>
              <w:right w:type="dxa" w:w="120"/>
            </w:tcMar>
          </w:tcPr>
          <w:p>
            <w:r>
              <w:rPr>
                <w:b/>
                <w:bCs/>
                <w:color w:val="0F4A1A"/>
                <w:sz w:val="21"/>
                <w:szCs w:val="21"/>
              </w:rPr>
              <w:t xml:space="preserve">Référence</w:t>
            </w:r>
          </w:p>
        </w:tc>
        <w:tc>
          <w:tcPr>
            <w:tcW w:type="dxa" w:w="6800"/>
            <w:tcMar>
              <w:top w:type="dxa" w:w="100"/>
              <w:left w:type="dxa" w:w="120"/>
              <w:bottom w:type="dxa" w:w="100"/>
              <w:right w:type="dxa" w:w="120"/>
            </w:tcMar>
          </w:tcPr>
          <w:p>
            <w:r>
              <w:rPr>
                <w:sz w:val="21"/>
                <w:szCs w:val="21"/>
              </w:rPr>
              <w:t xml:space="preserve">GOUVERNANCE_IDENTITE_CADRAGE_001</w:t>
            </w:r>
          </w:p>
        </w:tc>
      </w:tr>
      <w:tr>
        <w:tc>
          <w:tcPr>
            <w:tcW w:type="dxa" w:w="2400"/>
            <w:shd w:fill="F4F8F4" w:val="clear"/>
            <w:tcMar>
              <w:top w:type="dxa" w:w="100"/>
              <w:left w:type="dxa" w:w="120"/>
              <w:bottom w:type="dxa" w:w="100"/>
              <w:right w:type="dxa" w:w="120"/>
            </w:tcMar>
          </w:tcPr>
          <w:p>
            <w:r>
              <w:rPr>
                <w:b/>
                <w:bCs/>
                <w:color w:val="0F4A1A"/>
                <w:sz w:val="21"/>
                <w:szCs w:val="21"/>
              </w:rPr>
              <w:t xml:space="preserve">Statut</w:t>
            </w:r>
          </w:p>
        </w:tc>
        <w:tc>
          <w:tcPr>
            <w:tcW w:type="dxa" w:w="6800"/>
            <w:tcMar>
              <w:top w:type="dxa" w:w="100"/>
              <w:left w:type="dxa" w:w="120"/>
              <w:bottom w:type="dxa" w:w="100"/>
              <w:right w:type="dxa" w:w="120"/>
            </w:tcMar>
          </w:tcPr>
          <w:p>
            <w:r>
              <w:rPr>
                <w:sz w:val="21"/>
                <w:szCs w:val="21"/>
              </w:rPr>
              <w:t xml:space="preserve">Principes actés — implémentation non démarrée</w:t>
            </w:r>
          </w:p>
        </w:tc>
      </w:tr>
      <w:tr>
        <w:tc>
          <w:tcPr>
            <w:tcW w:type="dxa" w:w="2400"/>
            <w:shd w:fill="F4F8F4" w:val="clear"/>
            <w:tcMar>
              <w:top w:type="dxa" w:w="100"/>
              <w:left w:type="dxa" w:w="120"/>
              <w:bottom w:type="dxa" w:w="100"/>
              <w:right w:type="dxa" w:w="120"/>
            </w:tcMar>
          </w:tcPr>
          <w:p>
            <w:r>
              <w:rPr>
                <w:b/>
                <w:bCs/>
                <w:color w:val="0F4A1A"/>
                <w:sz w:val="21"/>
                <w:szCs w:val="21"/>
              </w:rPr>
              <w:t xml:space="preserve">Déclencheur</w:t>
            </w:r>
          </w:p>
        </w:tc>
        <w:tc>
          <w:tcPr>
            <w:tcW w:type="dxa" w:w="6800"/>
            <w:tcMar>
              <w:top w:type="dxa" w:w="100"/>
              <w:left w:type="dxa" w:w="120"/>
              <w:bottom w:type="dxa" w:w="100"/>
              <w:right w:type="dxa" w:w="120"/>
            </w:tcMar>
          </w:tcPr>
          <w:p>
            <w:r>
              <w:rPr>
                <w:sz w:val="21"/>
                <w:szCs w:val="21"/>
              </w:rPr>
              <w:t xml:space="preserve">Revue du parcours de cooptation preprod (fusion mot de passe + KYC)</w:t>
            </w:r>
          </w:p>
        </w:tc>
      </w:tr>
      <w:tr>
        <w:tc>
          <w:tcPr>
            <w:tcW w:type="dxa" w:w="2400"/>
            <w:shd w:fill="F4F8F4" w:val="clear"/>
            <w:tcMar>
              <w:top w:type="dxa" w:w="100"/>
              <w:left w:type="dxa" w:w="120"/>
              <w:bottom w:type="dxa" w:w="100"/>
              <w:right w:type="dxa" w:w="120"/>
            </w:tcMar>
          </w:tcPr>
          <w:p>
            <w:r>
              <w:rPr>
                <w:b/>
                <w:bCs/>
                <w:color w:val="0F4A1A"/>
                <w:sz w:val="21"/>
                <w:szCs w:val="21"/>
              </w:rPr>
              <w:t xml:space="preserve">GAF</w:t>
            </w:r>
          </w:p>
        </w:tc>
        <w:tc>
          <w:tcPr>
            <w:tcW w:type="dxa" w:w="6800"/>
            <w:tcMar>
              <w:top w:type="dxa" w:w="100"/>
              <w:left w:type="dxa" w:w="120"/>
              <w:bottom w:type="dxa" w:w="100"/>
              <w:right w:type="dxa" w:w="120"/>
            </w:tcMar>
          </w:tcPr>
          <w:p>
            <w:r>
              <w:rPr>
                <w:sz w:val="21"/>
                <w:szCs w:val="21"/>
              </w:rPr>
              <w:t xml:space="preserve">Finding IDENTITY_TRACEABILITY_BY_CONSENT — module GOVERNANCE-IDENTITY</w:t>
            </w:r>
          </w:p>
        </w:tc>
      </w:tr>
      <w:tr>
        <w:tc>
          <w:tcPr>
            <w:tcW w:type="dxa" w:w="2400"/>
            <w:shd w:fill="F4F8F4" w:val="clear"/>
            <w:tcMar>
              <w:top w:type="dxa" w:w="100"/>
              <w:left w:type="dxa" w:w="120"/>
              <w:bottom w:type="dxa" w:w="100"/>
              <w:right w:type="dxa" w:w="120"/>
            </w:tcMar>
          </w:tcPr>
          <w:p>
            <w:r>
              <w:rPr>
                <w:b/>
                <w:bCs/>
                <w:color w:val="0F4A1A"/>
                <w:sz w:val="21"/>
                <w:szCs w:val="21"/>
              </w:rPr>
              <w:t xml:space="preserve">Gouvernance</w:t>
            </w:r>
          </w:p>
        </w:tc>
        <w:tc>
          <w:tcPr>
            <w:tcW w:type="dxa" w:w="6800"/>
            <w:tcMar>
              <w:top w:type="dxa" w:w="100"/>
              <w:left w:type="dxa" w:w="120"/>
              <w:bottom w:type="dxa" w:w="100"/>
              <w:right w:type="dxa" w:w="120"/>
            </w:tcMar>
          </w:tcPr>
          <w:p>
            <w:r>
              <w:rPr>
                <w:sz w:val="21"/>
                <w:szCs w:val="21"/>
              </w:rPr>
              <w:t xml:space="preserve">Proposé pour validation par le Conseil scientifique OSA</w:t>
            </w:r>
          </w:p>
        </w:tc>
      </w:tr>
    </w:tbl>
    <w:p>
      <w:pPr>
        <w:spacing w:before="300"/>
      </w:pPr>
    </w:p>
    <w:p>
      <w:pPr>
        <w:pStyle w:val="Heading1"/>
        <w:spacing w:after="140" w:before="320"/>
      </w:pPr>
      <w:r>
        <w:rPr>
          <w:b/>
          <w:bCs/>
          <w:color w:val="0F4A1A"/>
        </w:rPr>
        <w:t xml:space="preserve">Contexte et déclencheur</w:t>
      </w:r>
    </w:p>
    <w:p>
      <w:pPr>
        <w:spacing w:after="140" w:line="300"/>
      </w:pPr>
      <w:r>
        <w:rPr>
          <w:sz w:val="22"/>
          <w:szCs w:val="22"/>
        </w:rPr>
        <w:t xml:space="preserve">Une question d'ergonomie — le nombre d'écrans nécessaires pour finaliser une inscription de cooptation en préproduction — a fait émerger une question de fond dépassant l'interface : la nature même de la relation entre une personne, son compte, et sa participation à l'Observatoire. Cette note formalise les principes actés avant tout développement supplémentaire.</w:t>
      </w:r>
    </w:p>
    <w:p>
      <w:pPr>
        <w:spacing w:after="140" w:line="300"/>
      </w:pPr>
      <w:r>
        <w:rPr>
          <w:sz w:val="22"/>
          <w:szCs w:val="22"/>
        </w:rPr>
        <w:t xml:space="preserve">Le système construit ce soir (formulaire de confirmation fusionné, mot de passe choisi par l'utilisateur, KYC obligatoire pour la cooptation preprod) reste valide et fonctionnel. Cette note ne le remet pas en cause — elle documente le cadre plus large dans lequel il s'inscrit, et les chantiers de modélisation qu'il reste à mener avant de le généraliser.</w:t>
      </w:r>
    </w:p>
    <w:p>
      <w:pPr>
        <w:pStyle w:val="Heading1"/>
        <w:spacing w:after="140" w:before="320"/>
      </w:pPr>
      <w:r>
        <w:rPr>
          <w:b/>
          <w:bCs/>
          <w:color w:val="0F4A1A"/>
        </w:rPr>
        <w:t xml:space="preserve">Principes actés</w:t>
      </w:r>
    </w:p>
    <w:p>
      <w:pPr>
        <w:pStyle w:val="Heading2"/>
        <w:spacing w:after="110" w:before="220"/>
      </w:pPr>
      <w:r>
        <w:rPr>
          <w:b/>
          <w:bCs/>
          <w:color w:val="1A6B2A"/>
          <w:sz w:val="24"/>
          <w:szCs w:val="24"/>
        </w:rPr>
        <w:t xml:space="preserve">1. Trois notions distinctes</w:t>
      </w:r>
    </w:p>
    <w:p>
      <w:pPr>
        <w:spacing w:after="140" w:line="300"/>
      </w:pPr>
      <w:r>
        <w:rPr>
          <w:sz w:val="22"/>
          <w:szCs w:val="22"/>
        </w:rPr>
        <w:t xml:space="preserve">mg.affiliates confond aujourd'hui trois notions dans une seule table : l'identité (qui est la personne), l'authentification (comment elle se connecte) et l'affiliation (à quel comité, pilier ou groupe de travail elle appartient, le cas échéant). Cette séparation est structurante :</w:t>
      </w:r>
    </w:p>
    <w:p>
      <w:pPr>
        <w:pStyle w:val="ListParagraph"/>
        <w:numPr>
          <w:ilvl w:val="0"/>
          <w:numId w:val="2"/>
        </w:numPr>
        <w:spacing w:after="80" w:line="280"/>
      </w:pPr>
      <w:r>
        <w:rPr>
          <w:sz w:val="22"/>
          <w:szCs w:val="22"/>
        </w:rPr>
        <w:t xml:space="preserve">Une personne peut avoir un compte et participer sans jamais appartenir à une structure — y compris de façon anonyme.</w:t>
      </w:r>
    </w:p>
    <w:p>
      <w:pPr>
        <w:pStyle w:val="ListParagraph"/>
        <w:numPr>
          <w:ilvl w:val="0"/>
          <w:numId w:val="2"/>
        </w:numPr>
        <w:spacing w:after="80" w:line="280"/>
      </w:pPr>
      <w:r>
        <w:rPr>
          <w:sz w:val="22"/>
          <w:szCs w:val="22"/>
        </w:rPr>
        <w:t xml:space="preserve">Une personne peut être affiliée à plusieurs structures au fil du temps — une relation temporelle, pas un champ unique.</w:t>
      </w:r>
    </w:p>
    <w:p>
      <w:pPr>
        <w:pStyle w:val="Heading2"/>
        <w:spacing w:after="110" w:before="220"/>
      </w:pPr>
      <w:r>
        <w:rPr>
          <w:b/>
          <w:bCs/>
          <w:color w:val="1A6B2A"/>
          <w:sz w:val="24"/>
          <w:szCs w:val="24"/>
        </w:rPr>
        <w:t xml:space="preserve">2. La traçabilité comme choix explicite</w:t>
      </w:r>
    </w:p>
    <w:p>
      <w:pPr>
        <w:spacing w:after="140" w:line="300"/>
      </w:pPr>
      <w:r>
        <w:rPr>
          <w:sz w:val="22"/>
          <w:szCs w:val="22"/>
        </w:rPr>
        <w:t xml:space="preserve">Principe retenu, formulé pour protéger le système de toute ambiguïté : « L'identité n'est jamais déduite des contributions. Elle ne peut être associée qu'à la suite d'un consentement explicite au processus KYC. »</w:t>
      </w:r>
    </w:p>
    <w:p>
      <w:pPr>
        <w:pStyle w:val="ListParagraph"/>
        <w:numPr>
          <w:ilvl w:val="0"/>
          <w:numId w:val="2"/>
        </w:numPr>
        <w:spacing w:after="80" w:line="280"/>
      </w:pPr>
      <w:r>
        <w:rPr>
          <w:sz w:val="22"/>
          <w:szCs w:val="22"/>
        </w:rPr>
        <w:t xml:space="preserve">Utilisateurs traçables (KYC validé) — identité associable à leurs contributions, fonctions et responsabilités. Seuls éligibles à un rattachement comité, pilier ou groupe de travail.</w:t>
      </w:r>
    </w:p>
    <w:p>
      <w:pPr>
        <w:pStyle w:val="ListParagraph"/>
        <w:numPr>
          <w:ilvl w:val="0"/>
          <w:numId w:val="2"/>
        </w:numPr>
        <w:spacing w:after="80" w:line="280"/>
      </w:pPr>
      <w:r>
        <w:rPr>
          <w:sz w:val="22"/>
          <w:szCs w:val="22"/>
        </w:rPr>
        <w:t xml:space="preserve">Utilisateurs anonymisés — participent aux consultations sans conservation d'identité. L'équipe technique OSA ne doit jamais chercher à réidentifier ni associer ces contributions à une personne physique.</w:t>
      </w:r>
    </w:p>
    <w:p>
      <w:pPr>
        <w:pStyle w:val="Heading2"/>
        <w:spacing w:after="110" w:before="220"/>
      </w:pPr>
      <w:r>
        <w:rPr>
          <w:b/>
          <w:bCs/>
          <w:color w:val="1A6B2A"/>
          <w:sz w:val="24"/>
          <w:szCs w:val="24"/>
        </w:rPr>
        <w:t xml:space="preserve">3. Deux métiers, deux logiques</w:t>
      </w:r>
    </w:p>
    <w:p>
      <w:pPr>
        <w:spacing w:after="140" w:line="300"/>
      </w:pPr>
      <w:r>
        <w:rPr>
          <w:sz w:val="22"/>
          <w:szCs w:val="22"/>
        </w:rPr>
        <w:t xml:space="preserve">Preprod et production ne partagent pas le même métier :</w:t>
      </w:r>
    </w:p>
    <w:p>
      <w:pPr>
        <w:pStyle w:val="ListParagraph"/>
        <w:numPr>
          <w:ilvl w:val="0"/>
          <w:numId w:val="2"/>
        </w:numPr>
        <w:spacing w:after="80" w:line="280"/>
      </w:pPr>
      <w:r>
        <w:rPr>
          <w:sz w:val="22"/>
          <w:szCs w:val="22"/>
        </w:rPr>
        <w:t xml:space="preserve">Preprod — organisation pilotée. Les affiliations sont décidées par cooptation : comité ou pilier tranchés avant l'invitation, KYC obligatoire fusionné à l'activation du compte.</w:t>
      </w:r>
    </w:p>
    <w:p>
      <w:pPr>
        <w:pStyle w:val="ListParagraph"/>
        <w:numPr>
          <w:ilvl w:val="0"/>
          <w:numId w:val="2"/>
        </w:numPr>
        <w:spacing w:after="80" w:line="280"/>
      </w:pPr>
      <w:r>
        <w:rPr>
          <w:sz w:val="22"/>
          <w:szCs w:val="22"/>
        </w:rPr>
        <w:t xml:space="preserve">Production — communauté ouverte. Les affiliations sont volontaires ; un compte peut exister sans appartenance à une structure. Une intégration ultérieure à un comité, un pilier ou un groupe de travail suit alors le même mécanisme de cooptation qu'en preprod.</w:t>
      </w:r>
    </w:p>
    <w:p>
      <w:pPr>
        <w:pStyle w:val="Heading2"/>
        <w:spacing w:after="110" w:before="220"/>
      </w:pPr>
      <w:r>
        <w:rPr>
          <w:b/>
          <w:bCs/>
          <w:color w:val="1A6B2A"/>
          <w:sz w:val="24"/>
          <w:szCs w:val="24"/>
        </w:rPr>
        <w:t xml:space="preserve">4. Le flyer comme document de gouvernance</w:t>
      </w:r>
    </w:p>
    <w:p>
      <w:pPr>
        <w:spacing w:after="140" w:line="300"/>
      </w:pPr>
      <w:r>
        <w:rPr>
          <w:sz w:val="22"/>
          <w:szCs w:val="22"/>
        </w:rPr>
        <w:t xml:space="preserve">Le flyer d'invitation (QR code + URL) n'est plus un simple vecteur technique vers un formulaire — c'est une lettre de mission numérique. Il porte le comité ou le pilier assigné, la durée de validité (30 jours), et matérialise la décision de cooptation prise par le fondateur ou un futur comité de validation.</w:t>
      </w:r>
    </w:p>
    <w:p>
      <w:pPr>
        <w:pStyle w:val="Heading2"/>
        <w:spacing w:after="110" w:before="220"/>
      </w:pPr>
      <w:r>
        <w:rPr>
          <w:b/>
          <w:bCs/>
          <w:color w:val="1A6B2A"/>
          <w:sz w:val="24"/>
          <w:szCs w:val="24"/>
        </w:rPr>
        <w:t xml:space="preserve">5. Propagation contrôlée entre environnements</w:t>
      </w:r>
    </w:p>
    <w:p>
      <w:pPr>
        <w:spacing w:after="140" w:line="300"/>
      </w:pPr>
      <w:r>
        <w:rPr>
          <w:sz w:val="22"/>
          <w:szCs w:val="22"/>
        </w:rPr>
        <w:t xml:space="preserve">Une identité validée en preprod n'est pas une nouvelle inscription lorsqu'elle atteint DEV ou PROD — c'est la diffusion contrôlée d'une identité déjà validée, pour la continuité des audits et de la traçabilité. Seules certaines données de référence seraient synchronisées (identité, statut, affiliation, métadonnées d'audit) ; chaque environnement garde son autonomie sur le reste.</w:t>
      </w:r>
    </w:p>
    <w:p>
      <w:pPr>
        <w:pStyle w:val="Heading1"/>
        <w:spacing w:after="140" w:before="320"/>
      </w:pPr>
      <w:r>
        <w:rPr>
          <w:b/>
          <w:bCs/>
          <w:color w:val="0F4A1A"/>
        </w:rPr>
        <w:t xml:space="preserve">Schéma cible</w:t>
      </w:r>
    </w:p>
    <w:p>
      <w:pPr>
        <w:spacing w:after="100"/>
        <w:jc w:val="center"/>
      </w:pPr>
      <w:r>
        <w:rPr>
          <w:rFonts w:ascii="Consolas" w:cs="Consolas" w:eastAsia="Consolas" w:hAnsi="Consolas"/>
          <w:b/>
          <w:bCs/>
          <w:color w:val="0F4A1A"/>
          <w:sz w:val="22"/>
          <w:szCs w:val="22"/>
        </w:rPr>
        <w:t xml:space="preserve">Personne</w:t>
      </w:r>
    </w:p>
    <w:p>
      <w:pPr>
        <w:spacing w:after="100"/>
        <w:jc w:val="center"/>
      </w:pPr>
      <w:r>
        <w:rPr>
          <w:rFonts w:ascii="Consolas" w:cs="Consolas" w:eastAsia="Consolas" w:hAnsi="Consolas"/>
          <w:b/>
          <w:bCs/>
          <w:color w:val="0F4A1A"/>
          <w:sz w:val="22"/>
          <w:szCs w:val="22"/>
        </w:rPr>
        <w:t xml:space="preserve">│</w:t>
      </w:r>
    </w:p>
    <w:p>
      <w:pPr>
        <w:spacing w:after="100"/>
        <w:jc w:val="center"/>
      </w:pPr>
      <w:r>
        <w:rPr>
          <w:rFonts w:ascii="Consolas" w:cs="Consolas" w:eastAsia="Consolas" w:hAnsi="Consolas"/>
          <w:b/>
          <w:bCs/>
          <w:color w:val="0F4A1A"/>
          <w:sz w:val="22"/>
          <w:szCs w:val="22"/>
        </w:rPr>
        <w:t xml:space="preserve">▼</w:t>
      </w:r>
    </w:p>
    <w:p>
      <w:pPr>
        <w:spacing w:after="100"/>
        <w:jc w:val="center"/>
      </w:pPr>
      <w:r>
        <w:rPr>
          <w:rFonts w:ascii="Consolas" w:cs="Consolas" w:eastAsia="Consolas" w:hAnsi="Consolas"/>
          <w:b/>
          <w:bCs/>
          <w:color w:val="0F4A1A"/>
          <w:sz w:val="22"/>
          <w:szCs w:val="22"/>
        </w:rPr>
        <w:t xml:space="preserve">Compte OSA</w:t>
      </w:r>
    </w:p>
    <w:p>
      <w:pPr>
        <w:spacing w:after="100"/>
        <w:jc w:val="center"/>
      </w:pPr>
      <w:r>
        <w:rPr>
          <w:rFonts w:ascii="Consolas" w:cs="Consolas" w:eastAsia="Consolas" w:hAnsi="Consolas"/>
          <w:b/>
          <w:bCs/>
          <w:color w:val="0F4A1A"/>
          <w:sz w:val="22"/>
          <w:szCs w:val="22"/>
        </w:rPr>
        <w:t xml:space="preserve">│</w:t>
      </w:r>
    </w:p>
    <w:p>
      <w:pPr>
        <w:spacing w:after="100"/>
        <w:jc w:val="center"/>
      </w:pPr>
      <w:r>
        <w:rPr>
          <w:rFonts w:ascii="Consolas" w:cs="Consolas" w:eastAsia="Consolas" w:hAnsi="Consolas"/>
          <w:b/>
          <w:bCs/>
          <w:color w:val="0F4A1A"/>
          <w:sz w:val="22"/>
          <w:szCs w:val="22"/>
        </w:rPr>
        <w:t xml:space="preserve">├──────────────┐</w:t>
      </w:r>
    </w:p>
    <w:p>
      <w:pPr>
        <w:spacing w:after="100"/>
        <w:jc w:val="center"/>
      </w:pPr>
      <w:r>
        <w:rPr>
          <w:rFonts w:ascii="Consolas" w:cs="Consolas" w:eastAsia="Consolas" w:hAnsi="Consolas"/>
          <w:b/>
          <w:bCs/>
          <w:color w:val="0F4A1A"/>
          <w:sz w:val="22"/>
          <w:szCs w:val="22"/>
        </w:rPr>
        <w:t xml:space="preserve">▼              ▼</w:t>
      </w:r>
    </w:p>
    <w:p>
      <w:pPr>
        <w:spacing w:after="100"/>
        <w:jc w:val="center"/>
      </w:pPr>
      <w:r>
        <w:rPr>
          <w:rFonts w:ascii="Consolas" w:cs="Consolas" w:eastAsia="Consolas" w:hAnsi="Consolas"/>
          <w:b/>
          <w:bCs/>
          <w:color w:val="0F4A1A"/>
          <w:sz w:val="22"/>
          <w:szCs w:val="22"/>
        </w:rPr>
        <w:t xml:space="preserve">Participation     Affiliation</w:t>
      </w:r>
    </w:p>
    <w:p>
      <w:pPr>
        <w:spacing w:after="100"/>
        <w:jc w:val="center"/>
      </w:pPr>
      <w:r>
        <w:rPr>
          <w:rFonts w:ascii="Consolas" w:cs="Consolas" w:eastAsia="Consolas" w:hAnsi="Consolas"/>
          <w:b/>
          <w:bCs/>
          <w:color w:val="0F4A1A"/>
          <w:sz w:val="22"/>
          <w:szCs w:val="22"/>
        </w:rPr>
        <w:t xml:space="preserve">ouverte           officielle</w:t>
      </w:r>
    </w:p>
    <w:p>
      <w:pPr>
        <w:spacing w:after="100"/>
        <w:jc w:val="center"/>
      </w:pPr>
      <w:r>
        <w:rPr>
          <w:rFonts w:ascii="Consolas" w:cs="Consolas" w:eastAsia="Consolas" w:hAnsi="Consolas"/>
          <w:b/>
          <w:bCs/>
          <w:color w:val="0F4A1A"/>
          <w:sz w:val="22"/>
          <w:szCs w:val="22"/>
        </w:rPr>
        <w:t xml:space="preserve">│              │</w:t>
      </w:r>
    </w:p>
    <w:p>
      <w:pPr>
        <w:spacing w:after="100"/>
        <w:jc w:val="center"/>
      </w:pPr>
      <w:r>
        <w:rPr>
          <w:rFonts w:ascii="Consolas" w:cs="Consolas" w:eastAsia="Consolas" w:hAnsi="Consolas"/>
          <w:b/>
          <w:bCs/>
          <w:color w:val="0F4A1A"/>
          <w:sz w:val="22"/>
          <w:szCs w:val="22"/>
        </w:rPr>
        <w:t xml:space="preserve">▼              ▼</w:t>
      </w:r>
    </w:p>
    <w:p>
      <w:pPr>
        <w:spacing w:after="100"/>
        <w:jc w:val="center"/>
      </w:pPr>
      <w:r>
        <w:rPr>
          <w:rFonts w:ascii="Consolas" w:cs="Consolas" w:eastAsia="Consolas" w:hAnsi="Consolas"/>
          <w:b/>
          <w:bCs/>
          <w:color w:val="0F4A1A"/>
          <w:sz w:val="22"/>
          <w:szCs w:val="22"/>
        </w:rPr>
        <w:t xml:space="preserve">anonyme/KYC      comité/pilier + KYC</w:t>
      </w:r>
    </w:p>
    <w:p>
      <w:pPr>
        <w:spacing w:after="140" w:before="200"/>
      </w:pPr>
    </w:p>
    <w:p>
      <w:pPr>
        <w:spacing w:after="140" w:line="300"/>
      </w:pPr>
      <w:r>
        <w:rPr>
          <w:sz w:val="22"/>
          <w:szCs w:val="22"/>
        </w:rPr>
        <w:t xml:space="preserve">Ce schéma n'est pas encore implémenté. mg.affiliates reste aujourd'hui la table unique portant identité, authentification et affiliation — sa décomposition est le premier des trois sous-chantiers ci-dessous.</w:t>
      </w:r>
    </w:p>
    <w:p>
      <w:pPr>
        <w:pStyle w:val="Heading1"/>
        <w:spacing w:after="140" w:before="320"/>
      </w:pPr>
      <w:r>
        <w:rPr>
          <w:b/>
          <w:bCs/>
          <w:color w:val="0F4A1A"/>
        </w:rPr>
        <w:t xml:space="preserve">Trois sous-chantiers à cadrer</w:t>
      </w:r>
    </w:p>
    <w:p>
      <w:pPr>
        <w:spacing w:after="140" w:line="300"/>
      </w:pPr>
      <w:r>
        <w:rPr>
          <w:sz w:val="22"/>
          <w:szCs w:val="22"/>
        </w:rPr>
        <w:t xml:space="preserve">Chacun soulève des questions non triviales qui doivent être tranchées avant tout développement — aucun n'est un simple ajustement de schéma.</w:t>
      </w:r>
    </w:p>
    <w:p>
      <w:pPr>
        <w:pStyle w:val="Heading2"/>
        <w:spacing w:after="110" w:before="220"/>
      </w:pPr>
      <w:r>
        <w:rPr>
          <w:b/>
          <w:bCs/>
          <w:color w:val="1A6B2A"/>
          <w:sz w:val="24"/>
          <w:szCs w:val="24"/>
        </w:rPr>
        <w:t xml:space="preserve">A. Participation anonyme</w:t>
      </w:r>
    </w:p>
    <w:p>
      <w:pPr>
        <w:spacing w:after="140" w:line="300"/>
      </w:pPr>
      <w:r>
        <w:rPr>
          <w:sz w:val="22"/>
          <w:szCs w:val="22"/>
        </w:rPr>
        <w:t xml:space="preserve">Comment une contribution E-Participation existe-t-elle sans affiliate_id ?</w:t>
      </w:r>
    </w:p>
    <w:p>
      <w:pPr>
        <w:pStyle w:val="ListParagraph"/>
        <w:numPr>
          <w:ilvl w:val="0"/>
          <w:numId w:val="3"/>
        </w:numPr>
        <w:spacing w:after="90" w:line="280"/>
      </w:pPr>
      <w:r>
        <w:rPr>
          <w:i/>
          <w:iCs/>
          <w:color w:val="7D4800"/>
          <w:sz w:val="22"/>
          <w:szCs w:val="22"/>
        </w:rPr>
        <w:t xml:space="preserve">Quel jeton de session anonyme — signé, non réversible vers une identité ?</w:t>
      </w:r>
    </w:p>
    <w:p>
      <w:pPr>
        <w:pStyle w:val="ListParagraph"/>
        <w:numPr>
          <w:ilvl w:val="0"/>
          <w:numId w:val="3"/>
        </w:numPr>
        <w:spacing w:after="90" w:line="280"/>
      </w:pPr>
      <w:r>
        <w:rPr>
          <w:i/>
          <w:iCs/>
          <w:color w:val="7D4800"/>
          <w:sz w:val="22"/>
          <w:szCs w:val="22"/>
        </w:rPr>
        <w:t xml:space="preserve">Quelle protection anti-abus (limitation de débit, modération) sans identité pour s'appuyer dessus ?</w:t>
      </w:r>
    </w:p>
    <w:p>
      <w:pPr>
        <w:pStyle w:val="ListParagraph"/>
        <w:numPr>
          <w:ilvl w:val="0"/>
          <w:numId w:val="3"/>
        </w:numPr>
        <w:spacing w:after="90" w:line="280"/>
      </w:pPr>
      <w:r>
        <w:rPr>
          <w:i/>
          <w:iCs/>
          <w:color w:val="7D4800"/>
          <w:sz w:val="22"/>
          <w:szCs w:val="22"/>
        </w:rPr>
        <w:t xml:space="preserve">Un utilisateur anonyme peut-il repasser en traçable a posteriori (consentement différé), ou le choix est-il définitif à la contribution ?</w:t>
      </w:r>
    </w:p>
    <w:p>
      <w:pPr>
        <w:pStyle w:val="Heading2"/>
        <w:spacing w:after="110" w:before="220"/>
      </w:pPr>
      <w:r>
        <w:rPr>
          <w:b/>
          <w:bCs/>
          <w:color w:val="1A6B2A"/>
          <w:sz w:val="24"/>
          <w:szCs w:val="24"/>
        </w:rPr>
        <w:t xml:space="preserve">B. Propagation contrôlée DEV / PREPROD / PROD</w:t>
      </w:r>
    </w:p>
    <w:p>
      <w:pPr>
        <w:spacing w:after="140" w:line="300"/>
      </w:pPr>
      <w:r>
        <w:rPr>
          <w:sz w:val="22"/>
          <w:szCs w:val="22"/>
        </w:rPr>
        <w:t xml:space="preserve">Aucun mécanisme de synchronisation n'existe aujourd'hui entre les trois bases — osa_dev a été un clone figé une fois, osa_preprod était même vide à l'origine (cf. session du 5 juillet 2026).</w:t>
      </w:r>
    </w:p>
    <w:p>
      <w:pPr>
        <w:pStyle w:val="ListParagraph"/>
        <w:numPr>
          <w:ilvl w:val="0"/>
          <w:numId w:val="3"/>
        </w:numPr>
        <w:spacing w:after="90" w:line="280"/>
      </w:pPr>
      <w:r>
        <w:rPr>
          <w:i/>
          <w:iCs/>
          <w:color w:val="7D4800"/>
          <w:sz w:val="22"/>
          <w:szCs w:val="22"/>
        </w:rPr>
        <w:t xml:space="preserve">Quel déclencheur — synchronisation à la validation de chaque cooptation, ou par lot périodique ?</w:t>
      </w:r>
    </w:p>
    <w:p>
      <w:pPr>
        <w:pStyle w:val="ListParagraph"/>
        <w:numPr>
          <w:ilvl w:val="0"/>
          <w:numId w:val="3"/>
        </w:numPr>
        <w:spacing w:after="90" w:line="280"/>
      </w:pPr>
      <w:r>
        <w:rPr>
          <w:i/>
          <w:iCs/>
          <w:color w:val="7D4800"/>
          <w:sz w:val="22"/>
          <w:szCs w:val="22"/>
        </w:rPr>
        <w:t xml:space="preserve">Gestion des collisions d'identifiants entre bases historiquement indépendantes (les id actuels de osa_preprod ne correspondent à rien sur osa_db).</w:t>
      </w:r>
    </w:p>
    <w:p>
      <w:pPr>
        <w:pStyle w:val="ListParagraph"/>
        <w:numPr>
          <w:ilvl w:val="0"/>
          <w:numId w:val="3"/>
        </w:numPr>
        <w:spacing w:after="90" w:line="280"/>
      </w:pPr>
      <w:r>
        <w:rPr>
          <w:i/>
          <w:iCs/>
          <w:color w:val="7D4800"/>
          <w:sz w:val="22"/>
          <w:szCs w:val="22"/>
        </w:rPr>
        <w:t xml:space="preserve">Idempotence — une identité déjà propagée doit pouvoir être re-synchronisée sans dupliquer ni écraser des données locales à l'environnement cible.</w:t>
      </w:r>
    </w:p>
    <w:p>
      <w:pPr>
        <w:pStyle w:val="ListParagraph"/>
        <w:numPr>
          <w:ilvl w:val="0"/>
          <w:numId w:val="3"/>
        </w:numPr>
        <w:spacing w:after="90" w:line="280"/>
      </w:pPr>
      <w:r>
        <w:rPr>
          <w:i/>
          <w:iCs/>
          <w:color w:val="7D4800"/>
          <w:sz w:val="22"/>
          <w:szCs w:val="22"/>
        </w:rPr>
        <w:t xml:space="preserve">Périmètre exact des « métadonnées d'audit » à propager — à définir précisément, pas seulement nommer la catégorie.</w:t>
      </w:r>
    </w:p>
    <w:p>
      <w:pPr>
        <w:pStyle w:val="Heading2"/>
        <w:spacing w:after="110" w:before="220"/>
      </w:pPr>
      <w:r>
        <w:rPr>
          <w:b/>
          <w:bCs/>
          <w:color w:val="1A6B2A"/>
          <w:sz w:val="24"/>
          <w:szCs w:val="24"/>
        </w:rPr>
        <w:t xml:space="preserve">C. Multi-affiliation dans le temps</w:t>
      </w:r>
    </w:p>
    <w:p>
      <w:pPr>
        <w:spacing w:after="140" w:line="300"/>
      </w:pPr>
      <w:r>
        <w:rPr>
          <w:sz w:val="22"/>
          <w:szCs w:val="22"/>
        </w:rPr>
        <w:t xml:space="preserve">Une personne affiliée à plusieurs structures au fil du temps implique une table de liaison temporelle, pas un champ unique sur mg.affiliates.</w:t>
      </w:r>
    </w:p>
    <w:p>
      <w:pPr>
        <w:pStyle w:val="ListParagraph"/>
        <w:numPr>
          <w:ilvl w:val="0"/>
          <w:numId w:val="3"/>
        </w:numPr>
        <w:spacing w:after="90" w:line="280"/>
      </w:pPr>
      <w:r>
        <w:rPr>
          <w:i/>
          <w:iCs/>
          <w:color w:val="7D4800"/>
          <w:sz w:val="22"/>
          <w:szCs w:val="22"/>
        </w:rPr>
        <w:t xml:space="preserve">Une personne peut-elle être active dans plusieurs structures simultanément, ou une seule à la fois (cf. contrainte idx_wgm_one_active déjà existante sur les groupes de travail) ?</w:t>
      </w:r>
    </w:p>
    <w:p>
      <w:pPr>
        <w:pStyle w:val="ListParagraph"/>
        <w:numPr>
          <w:ilvl w:val="0"/>
          <w:numId w:val="3"/>
        </w:numPr>
        <w:spacing w:after="90" w:line="280"/>
      </w:pPr>
      <w:r>
        <w:rPr>
          <w:i/>
          <w:iCs/>
          <w:color w:val="7D4800"/>
          <w:sz w:val="22"/>
          <w:szCs w:val="22"/>
        </w:rPr>
        <w:t xml:space="preserve">Historique des affiliations passées — conservé pour l'audit, ou purgé ?</w:t>
      </w:r>
    </w:p>
    <w:p>
      <w:pPr>
        <w:pStyle w:val="ListParagraph"/>
        <w:numPr>
          <w:ilvl w:val="0"/>
          <w:numId w:val="3"/>
        </w:numPr>
        <w:spacing w:after="90" w:line="280"/>
      </w:pPr>
      <w:r>
        <w:rPr>
          <w:i/>
          <w:iCs/>
          <w:color w:val="7D4800"/>
          <w:sz w:val="22"/>
          <w:szCs w:val="22"/>
        </w:rPr>
        <w:t xml:space="preserve">Impact sur les décisions déjà actées ce soir (cooptation_proposals, committee_memberships, working_group_members) — migration ou coexistence avec le nouveau schéma ?</w:t>
      </w:r>
    </w:p>
    <w:p>
      <w:pPr>
        <w:pStyle w:val="Heading1"/>
        <w:spacing w:after="140" w:before="320"/>
      </w:pPr>
      <w:r>
        <w:rPr>
          <w:b/>
          <w:bCs/>
          <w:color w:val="0F4A1A"/>
        </w:rPr>
        <w:t xml:space="preserve">État actuel vs état cible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0F4A1A" w:val="clear"/>
            <w:tcMar>
              <w:top w:type="dxa" w:w="90"/>
              <w:left w:type="dxa" w:w="100"/>
              <w:bottom w:type="dxa" w:w="90"/>
              <w:right w:type="dxa" w:w="100"/>
            </w:tcMar>
          </w:tcPr>
          <w:p>
            <w:r>
              <w:rPr>
                <w:b/>
                <w:bCs/>
                <w:color w:val="FFFFFF"/>
                <w:sz w:val="20"/>
                <w:szCs w:val="20"/>
              </w:rPr>
              <w:t xml:space="preserve">Élément</w:t>
            </w:r>
          </w:p>
        </w:tc>
        <w:tc>
          <w:tcPr>
            <w:tcW w:type="dxa" w:w="3200"/>
            <w:shd w:fill="0F4A1A" w:val="clear"/>
            <w:tcMar>
              <w:top w:type="dxa" w:w="90"/>
              <w:left w:type="dxa" w:w="100"/>
              <w:bottom w:type="dxa" w:w="90"/>
              <w:right w:type="dxa" w:w="100"/>
            </w:tcMar>
          </w:tcPr>
          <w:p>
            <w:r>
              <w:rPr>
                <w:b/>
                <w:bCs/>
                <w:color w:val="FFFFFF"/>
                <w:sz w:val="20"/>
                <w:szCs w:val="20"/>
              </w:rPr>
              <w:t xml:space="preserve">Aujourd'hui</w:t>
            </w:r>
          </w:p>
        </w:tc>
        <w:tc>
          <w:tcPr>
            <w:tcW w:type="dxa" w:w="3200"/>
            <w:shd w:fill="0F4A1A" w:val="clear"/>
            <w:tcMar>
              <w:top w:type="dxa" w:w="90"/>
              <w:left w:type="dxa" w:w="100"/>
              <w:bottom w:type="dxa" w:w="90"/>
              <w:right w:type="dxa" w:w="100"/>
            </w:tcMar>
          </w:tcPr>
          <w:p>
            <w:r>
              <w:rPr>
                <w:b/>
                <w:bCs/>
                <w:color w:val="FFFFFF"/>
                <w:sz w:val="20"/>
                <w:szCs w:val="20"/>
              </w:rPr>
              <w:t xml:space="preserve">Cible</w:t>
            </w:r>
          </w:p>
        </w:tc>
      </w:tr>
      <w:tr>
        <w:tc>
          <w:tcPr>
            <w:tcW w:type="dxa" w:w="3200"/>
            <w:tcMar>
              <w:top w:type="dxa" w:w="90"/>
              <w:left w:type="dxa" w:w="100"/>
              <w:bottom w:type="dxa" w:w="90"/>
              <w:right w:type="dxa" w:w="100"/>
            </w:tcMar>
          </w:tcPr>
          <w:p>
            <w:r>
              <w:rPr>
                <w:b/>
                <w:bCs/>
                <w:sz w:val="20"/>
                <w:szCs w:val="20"/>
              </w:rPr>
              <w:t xml:space="preserve">Identité + auth + affiliation</w:t>
            </w:r>
          </w:p>
        </w:tc>
        <w:tc>
          <w:tcPr>
            <w:tcW w:type="dxa" w:w="3200"/>
            <w:tcMar>
              <w:top w:type="dxa" w:w="90"/>
              <w:left w:type="dxa" w:w="100"/>
              <w:bottom w:type="dxa" w:w="90"/>
              <w:right w:type="dxa" w:w="100"/>
            </w:tcMar>
          </w:tcPr>
          <w:p>
            <w:r>
              <w:rPr>
                <w:sz w:val="20"/>
                <w:szCs w:val="20"/>
              </w:rPr>
              <w:t xml:space="preserve">Une seule table (mg.affiliates)</w:t>
            </w:r>
          </w:p>
        </w:tc>
        <w:tc>
          <w:tcPr>
            <w:tcW w:type="dxa" w:w="3200"/>
            <w:tcMar>
              <w:top w:type="dxa" w:w="90"/>
              <w:left w:type="dxa" w:w="100"/>
              <w:bottom w:type="dxa" w:w="90"/>
              <w:right w:type="dxa" w:w="100"/>
            </w:tcMar>
          </w:tcPr>
          <w:p>
            <w:r>
              <w:rPr>
                <w:sz w:val="20"/>
                <w:szCs w:val="20"/>
              </w:rPr>
              <w:t xml:space="preserve">Trois notions séparées</w:t>
            </w:r>
          </w:p>
        </w:tc>
      </w:tr>
      <w:tr>
        <w:tc>
          <w:tcPr>
            <w:tcW w:type="dxa" w:w="3200"/>
            <w:tcMar>
              <w:top w:type="dxa" w:w="90"/>
              <w:left w:type="dxa" w:w="100"/>
              <w:bottom w:type="dxa" w:w="90"/>
              <w:right w:type="dxa" w:w="100"/>
            </w:tcMar>
          </w:tcPr>
          <w:p>
            <w:r>
              <w:rPr>
                <w:b/>
                <w:bCs/>
                <w:sz w:val="20"/>
                <w:szCs w:val="20"/>
              </w:rPr>
              <w:t xml:space="preserve">Cooptation preprod</w:t>
            </w:r>
          </w:p>
        </w:tc>
        <w:tc>
          <w:tcPr>
            <w:tcW w:type="dxa" w:w="3200"/>
            <w:tcMar>
              <w:top w:type="dxa" w:w="90"/>
              <w:left w:type="dxa" w:w="100"/>
              <w:bottom w:type="dxa" w:w="90"/>
              <w:right w:type="dxa" w:w="100"/>
            </w:tcMar>
          </w:tcPr>
          <w:p>
            <w:r>
              <w:rPr>
                <w:sz w:val="20"/>
                <w:szCs w:val="20"/>
              </w:rPr>
              <w:t xml:space="preserve">Construite et validée ce soir</w:t>
            </w:r>
          </w:p>
        </w:tc>
        <w:tc>
          <w:tcPr>
            <w:tcW w:type="dxa" w:w="3200"/>
            <w:tcMar>
              <w:top w:type="dxa" w:w="90"/>
              <w:left w:type="dxa" w:w="100"/>
              <w:bottom w:type="dxa" w:w="90"/>
              <w:right w:type="dxa" w:w="100"/>
            </w:tcMar>
          </w:tcPr>
          <w:p>
            <w:r>
              <w:rPr>
                <w:sz w:val="20"/>
                <w:szCs w:val="20"/>
              </w:rPr>
              <w:t xml:space="preserve">Inchangée — déjà conforme</w:t>
            </w:r>
          </w:p>
        </w:tc>
      </w:tr>
      <w:tr>
        <w:tc>
          <w:tcPr>
            <w:tcW w:type="dxa" w:w="3200"/>
            <w:tcMar>
              <w:top w:type="dxa" w:w="90"/>
              <w:left w:type="dxa" w:w="100"/>
              <w:bottom w:type="dxa" w:w="90"/>
              <w:right w:type="dxa" w:w="100"/>
            </w:tcMar>
          </w:tcPr>
          <w:p>
            <w:r>
              <w:rPr>
                <w:b/>
                <w:bCs/>
                <w:sz w:val="20"/>
                <w:szCs w:val="20"/>
              </w:rPr>
              <w:t xml:space="preserve">Affiliation volontaire prod</w:t>
            </w:r>
          </w:p>
        </w:tc>
        <w:tc>
          <w:tcPr>
            <w:tcW w:type="dxa" w:w="3200"/>
            <w:tcMar>
              <w:top w:type="dxa" w:w="90"/>
              <w:left w:type="dxa" w:w="100"/>
              <w:bottom w:type="dxa" w:w="90"/>
              <w:right w:type="dxa" w:w="100"/>
            </w:tcMar>
          </w:tcPr>
          <w:p>
            <w:r>
              <w:rPr>
                <w:sz w:val="20"/>
                <w:szCs w:val="20"/>
              </w:rPr>
              <w:t xml:space="preserve">/register existant, KYC non forcé</w:t>
            </w:r>
          </w:p>
        </w:tc>
        <w:tc>
          <w:tcPr>
            <w:tcW w:type="dxa" w:w="3200"/>
            <w:tcMar>
              <w:top w:type="dxa" w:w="90"/>
              <w:left w:type="dxa" w:w="100"/>
              <w:bottom w:type="dxa" w:w="90"/>
              <w:right w:type="dxa" w:w="100"/>
            </w:tcMar>
          </w:tcPr>
          <w:p>
            <w:r>
              <w:rPr>
                <w:sz w:val="20"/>
                <w:szCs w:val="20"/>
              </w:rPr>
              <w:t xml:space="preserve">Compte sans affiliation possible, cooptation différée</w:t>
            </w:r>
          </w:p>
        </w:tc>
      </w:tr>
      <w:tr>
        <w:tc>
          <w:tcPr>
            <w:tcW w:type="dxa" w:w="3200"/>
            <w:tcMar>
              <w:top w:type="dxa" w:w="90"/>
              <w:left w:type="dxa" w:w="100"/>
              <w:bottom w:type="dxa" w:w="90"/>
              <w:right w:type="dxa" w:w="100"/>
            </w:tcMar>
          </w:tcPr>
          <w:p>
            <w:r>
              <w:rPr>
                <w:b/>
                <w:bCs/>
                <w:sz w:val="20"/>
                <w:szCs w:val="20"/>
              </w:rPr>
              <w:t xml:space="preserve">Participation anonyme</w:t>
            </w:r>
          </w:p>
        </w:tc>
        <w:tc>
          <w:tcPr>
            <w:tcW w:type="dxa" w:w="3200"/>
            <w:tcMar>
              <w:top w:type="dxa" w:w="90"/>
              <w:left w:type="dxa" w:w="100"/>
              <w:bottom w:type="dxa" w:w="90"/>
              <w:right w:type="dxa" w:w="100"/>
            </w:tcMar>
          </w:tcPr>
          <w:p>
            <w:r>
              <w:rPr>
                <w:sz w:val="20"/>
                <w:szCs w:val="20"/>
              </w:rPr>
              <w:t xml:space="preserve">N'existe pas</w:t>
            </w:r>
          </w:p>
        </w:tc>
        <w:tc>
          <w:tcPr>
            <w:tcW w:type="dxa" w:w="3200"/>
            <w:tcMar>
              <w:top w:type="dxa" w:w="90"/>
              <w:left w:type="dxa" w:w="100"/>
              <w:bottom w:type="dxa" w:w="90"/>
              <w:right w:type="dxa" w:w="100"/>
            </w:tcMar>
          </w:tcPr>
          <w:p>
            <w:r>
              <w:rPr>
                <w:sz w:val="20"/>
                <w:szCs w:val="20"/>
              </w:rPr>
              <w:t xml:space="preserve">Jeton de session, sans identité</w:t>
            </w:r>
          </w:p>
        </w:tc>
      </w:tr>
      <w:tr>
        <w:tc>
          <w:tcPr>
            <w:tcW w:type="dxa" w:w="3200"/>
            <w:tcMar>
              <w:top w:type="dxa" w:w="90"/>
              <w:left w:type="dxa" w:w="100"/>
              <w:bottom w:type="dxa" w:w="90"/>
              <w:right w:type="dxa" w:w="100"/>
            </w:tcMar>
          </w:tcPr>
          <w:p>
            <w:r>
              <w:rPr>
                <w:b/>
                <w:bCs/>
                <w:sz w:val="20"/>
                <w:szCs w:val="20"/>
              </w:rPr>
              <w:t xml:space="preserve">Propagation inter-environnements</w:t>
            </w:r>
          </w:p>
        </w:tc>
        <w:tc>
          <w:tcPr>
            <w:tcW w:type="dxa" w:w="3200"/>
            <w:tcMar>
              <w:top w:type="dxa" w:w="90"/>
              <w:left w:type="dxa" w:w="100"/>
              <w:bottom w:type="dxa" w:w="90"/>
              <w:right w:type="dxa" w:w="100"/>
            </w:tcMar>
          </w:tcPr>
          <w:p>
            <w:r>
              <w:rPr>
                <w:sz w:val="20"/>
                <w:szCs w:val="20"/>
              </w:rPr>
              <w:t xml:space="preserve">N'existe pas</w:t>
            </w:r>
          </w:p>
        </w:tc>
        <w:tc>
          <w:tcPr>
            <w:tcW w:type="dxa" w:w="3200"/>
            <w:tcMar>
              <w:top w:type="dxa" w:w="90"/>
              <w:left w:type="dxa" w:w="100"/>
              <w:bottom w:type="dxa" w:w="90"/>
              <w:right w:type="dxa" w:w="100"/>
            </w:tcMar>
          </w:tcPr>
          <w:p>
            <w:r>
              <w:rPr>
                <w:sz w:val="20"/>
                <w:szCs w:val="20"/>
              </w:rPr>
              <w:t xml:space="preserve">Synchronisation contrôlée (identité, statut, affiliation, audit)</w:t>
            </w:r>
          </w:p>
        </w:tc>
      </w:tr>
      <w:tr>
        <w:tc>
          <w:tcPr>
            <w:tcW w:type="dxa" w:w="3200"/>
            <w:tcMar>
              <w:top w:type="dxa" w:w="90"/>
              <w:left w:type="dxa" w:w="100"/>
              <w:bottom w:type="dxa" w:w="90"/>
              <w:right w:type="dxa" w:w="100"/>
            </w:tcMar>
          </w:tcPr>
          <w:p>
            <w:r>
              <w:rPr>
                <w:b/>
                <w:bCs/>
                <w:sz w:val="20"/>
                <w:szCs w:val="20"/>
              </w:rPr>
              <w:t xml:space="preserve">Multi-affiliation</w:t>
            </w:r>
          </w:p>
        </w:tc>
        <w:tc>
          <w:tcPr>
            <w:tcW w:type="dxa" w:w="3200"/>
            <w:tcMar>
              <w:top w:type="dxa" w:w="90"/>
              <w:left w:type="dxa" w:w="100"/>
              <w:bottom w:type="dxa" w:w="90"/>
              <w:right w:type="dxa" w:w="100"/>
            </w:tcMar>
          </w:tcPr>
          <w:p>
            <w:r>
              <w:rPr>
                <w:sz w:val="20"/>
                <w:szCs w:val="20"/>
              </w:rPr>
              <w:t xml:space="preserve">Un seul rattachement actif (contrainte DB)</w:t>
            </w:r>
          </w:p>
        </w:tc>
        <w:tc>
          <w:tcPr>
            <w:tcW w:type="dxa" w:w="3200"/>
            <w:tcMar>
              <w:top w:type="dxa" w:w="90"/>
              <w:left w:type="dxa" w:w="100"/>
              <w:bottom w:type="dxa" w:w="90"/>
              <w:right w:type="dxa" w:w="100"/>
            </w:tcMar>
          </w:tcPr>
          <w:p>
            <w:r>
              <w:rPr>
                <w:sz w:val="20"/>
                <w:szCs w:val="20"/>
              </w:rPr>
              <w:t xml:space="preserve">Historique temporel à modéliser</w:t>
            </w:r>
          </w:p>
        </w:tc>
      </w:tr>
    </w:tbl>
    <w:p>
      <w:pPr>
        <w:spacing w:before="300"/>
      </w:pPr>
    </w:p>
    <w:p>
      <w:pPr>
        <w:pStyle w:val="Heading1"/>
        <w:spacing w:after="140" w:before="320"/>
      </w:pPr>
      <w:r>
        <w:rPr>
          <w:b/>
          <w:bCs/>
          <w:color w:val="0F4A1A"/>
        </w:rPr>
        <w:t xml:space="preserve">Prochaine étape</w:t>
      </w:r>
    </w:p>
    <w:p>
      <w:pPr>
        <w:spacing w:after="140" w:line="300"/>
      </w:pPr>
      <w:r>
        <w:rPr>
          <w:sz w:val="22"/>
          <w:szCs w:val="22"/>
        </w:rPr>
        <w:t xml:space="preserve">Cette note documente les principes actés et les questions ouvertes — elle ne constitue pas un plan d'implémentation. Chaque sous-chantier (A, B, C) mérite sa propre séance de cadrage 5W1H avant tout développement, conformément à la méthode déjà appliquée sur ce projet pour les décisions structurantes.</w:t>
      </w:r>
    </w:p>
    <w:p>
      <w:pPr>
        <w:spacing w:after="140" w:line="300"/>
      </w:pPr>
      <w:r>
        <w:rPr>
          <w:sz w:val="22"/>
          <w:szCs w:val="22"/>
        </w:rPr>
        <w:t xml:space="preserve">Le système de cooptation preprod construit ce soir reste pleinement opérationnel dans l'intervalle — rien dans cette note ne le bloque ni ne le remet en question.</w:t>
      </w:r>
    </w:p>
    <w:p>
      <w:pPr>
        <w:spacing w:before="300"/>
      </w:pPr>
    </w:p>
    <w:p>
      <w:pPr>
        <w:pBdr>
          <w:bottom w:val="single" w:color="C8973A" w:sz="6"/>
        </w:pBdr>
        <w:spacing w:after="240" w:before="120"/>
      </w:pPr>
    </w:p>
    <w:p>
      <w:pPr>
        <w:spacing w:after="0"/>
      </w:pPr>
      <w:r>
        <w:rPr>
          <w:i/>
          <w:iCs/>
          <w:color w:val="5A7A5A"/>
          <w:sz w:val="18"/>
          <w:szCs w:val="18"/>
        </w:rPr>
        <w:t xml:space="preserve">Note de cadrage — OSA Observatory. Référencée par le finding GAF IDENTITY_TRACEABILITY_BY_CONSENT.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2026-07-12T02:15:43.522Z</dcterms:created>
  <dcterms:modified xsi:type="dcterms:W3CDTF">2026-07-12T02:15:43.522Z</dcterms:modified>
</cp:coreProperties>
</file>

<file path=docProps/custom.xml><?xml version="1.0" encoding="utf-8"?>
<Properties xmlns="http://schemas.openxmlformats.org/officeDocument/2006/custom-properties" xmlns:vt="http://schemas.openxmlformats.org/officeDocument/2006/docPropsVTypes"/>
</file>