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A6B2A"/>
          <w:sz w:val="44"/>
          <w:szCs w:val="44"/>
        </w:rPr>
        <w:t xml:space="preserve">OSA OBSERVATORY</w:t>
      </w:r>
    </w:p>
    <w:p>
      <w:pPr>
        <w:spacing w:after="400" w:before="100"/>
        <w:jc w:val="center"/>
      </w:pPr>
      <w:r>
        <w:rPr>
          <w:i/>
          <w:iCs/>
          <w:color w:val="C8973A"/>
          <w:sz w:val="24"/>
          <w:szCs w:val="24"/>
        </w:rPr>
        <w:t xml:space="preserve">Observatoire de la Souveraineté Africaine</w:t>
      </w:r>
    </w:p>
    <w:p>
      <w:pPr>
        <w:spacing w:before="600"/>
        <w:jc w:val="center"/>
      </w:pPr>
      <w:r>
        <w:rPr>
          <w:b/>
          <w:bCs/>
          <w:color w:val="222222"/>
          <w:sz w:val="32"/>
          <w:szCs w:val="32"/>
        </w:rPr>
        <w:t xml:space="preserve">RAPPORT DE SESSION TECHNIQUE</w:t>
      </w:r>
    </w:p>
    <w:p>
      <w:pPr>
        <w:spacing w:after="600" w:before="150"/>
        <w:jc w:val="center"/>
      </w:pPr>
      <w:r>
        <w:rPr>
          <w:color w:val="666666"/>
          <w:sz w:val="22"/>
          <w:szCs w:val="22"/>
        </w:rPr>
        <w:t xml:space="preserve">Validation ADR-002, corrections d'infrastructure et rotation des secrets</w:t>
      </w:r>
    </w:p>
    <w:p>
      <w:pPr>
        <w:spacing w:before="800"/>
        <w:jc w:val="center"/>
      </w:pPr>
      <w:r>
        <w:rPr>
          <w:b/>
          <w:bCs/>
          <w:color w:val="222222"/>
          <w:sz w:val="24"/>
          <w:szCs w:val="24"/>
        </w:rPr>
        <w:t xml:space="preserve">12 – 13 juillet 2026</w:t>
      </w:r>
    </w:p>
    <w:p>
      <w:pPr>
        <w:spacing w:before="1600"/>
        <w:jc w:val="center"/>
      </w:pPr>
      <w:r>
        <w:rPr>
          <w:color w:val="666666"/>
          <w:sz w:val="20"/>
          <w:szCs w:val="20"/>
        </w:rPr>
        <w:t xml:space="preserve">Théophile D. Bakang — Fondateur, architecte principal</w:t>
      </w:r>
    </w:p>
    <w:p>
      <w:pPr>
        <w:spacing w:before="100"/>
        <w:jc w:val="center"/>
      </w:pPr>
      <w:r>
        <w:rPr>
          <w:color w:val="666666"/>
          <w:sz w:val="18"/>
          <w:szCs w:val="18"/>
        </w:rPr>
        <w:t xml:space="preserve">Fiches GAF associées : #35, #36, #37</w:t>
      </w:r>
    </w:p>
    <w:p>
      <w:r>
        <w:br w:type="page"/>
      </w:r>
    </w:p>
    <w:p>
      <w:pPr>
        <w:sectPr>
          <w:pgSz w:w="11906" w:h="16838" w:orient="portrait"/>
          <w:pgMar w:top="1440" w:right="1440" w:bottom="1440" w:left="1440" w:header="708" w:footer="708" w:gutter="0"/>
          <w:pgNumType/>
          <w:docGrid w:linePitch="360"/>
        </w:sectPr>
      </w:pPr>
    </w:p>
    <w:p>
      <w:pPr>
        <w:pStyle w:val="Heading1"/>
        <w:pBdr>
          <w:bottom w:val="single" w:color="1A6B2A" w:sz="6" w:space="4"/>
        </w:pBdr>
        <w:spacing w:after="200" w:before="400"/>
      </w:pPr>
      <w:r>
        <w:rPr>
          <w:b/>
          <w:bCs/>
          <w:color w:val="1A6B2A"/>
          <w:sz w:val="30"/>
          <w:szCs w:val="30"/>
        </w:rPr>
        <w:t xml:space="preserve">Résumé exécutif</w:t>
      </w:r>
    </w:p>
    <w:p>
      <w:pPr>
        <w:spacing w:after="120"/>
      </w:pPr>
      <w:r>
        <w:rPr>
          <w:color w:val="222222"/>
          <w:sz w:val="21"/>
          <w:szCs w:val="21"/>
        </w:rPr>
        <w:t xml:space="preserve">Ces deux journées ont porté la synchronisation d'identité inter-environnements (ADR-001/ADR-002) de l'état « architecture actée, jamais exécutée » à l'état « validée de bout en bout en conditions réelles », tout en corrigeant huit défauts latents découverts au fil de cette validation — dont trois affectaient déjà la production indépendamment de ce chantier.</w:t>
      </w:r>
    </w:p>
    <w:p>
      <w:pPr>
        <w:spacing w:after="120"/>
      </w:pPr>
      <w:r>
        <w:rPr>
          <w:color w:val="222222"/>
          <w:sz w:val="21"/>
          <w:szCs w:val="21"/>
        </w:rPr>
        <w:t xml:space="preserve">Un cycle complet de synchronisation d'identité a fonctionné pour la première fois le 12 juillet : cooptation en préproduction, confirmation avec KYC, émission d'événements, propagation automatique, création de compte en production, activation et connexion réelle. Le 13 juillet a été consacré à deux découvertes indépendantes faites en cours de route : un middleware de limitation de débit inopérant depuis une durée indéterminée, et l'exposition accidentelle de quatre secrets de production lors d'un diagnostic — tous deux corrigés.</w:t>
      </w:r>
    </w:p>
    <w:p>
      <w:pPr>
        <w:spacing w:after="100" w:before="200"/>
      </w:pPr>
      <w:r>
        <w:rPr>
          <w:b/>
          <w:bCs/>
          <w:color w:val="222222"/>
          <w:sz w:val="22"/>
          <w:szCs w:val="22"/>
        </w:rPr>
        <w:t xml:space="preserve">Bilan global</w:t>
      </w:r>
      <w:r>
        <w:t xml:space="preserve">   </w:t>
      </w:r>
      <w:r>
        <w:rPr>
          <w:b/>
          <w:bCs/>
          <w:color w:val="FFFFFF"/>
          <w:sz w:val="18"/>
          <w:szCs w:val="18"/>
          <w:shd w:fill="B4232A" w:val="clear"/>
        </w:rPr>
        <w:t xml:space="preserve">  HIGH  </w:t>
      </w:r>
      <w:r>
        <w:t xml:space="preserve">   </w:t>
      </w:r>
      <w:r>
        <w:rPr>
          <w:b/>
          <w:bCs/>
          <w:color w:val="FFFFFF"/>
          <w:sz w:val="18"/>
          <w:szCs w:val="18"/>
          <w:shd w:fill="1A6B2A" w:val="clear"/>
        </w:rPr>
        <w:t xml:space="preserve">  RÉSOLU  </w:t>
      </w:r>
    </w:p>
    <w:p>
      <w:pPr>
        <w:spacing w:after="120"/>
      </w:pPr>
      <w:r>
        <w:rPr>
          <w:color w:val="222222"/>
          <w:sz w:val="21"/>
          <w:szCs w:val="21"/>
        </w:rPr>
        <w:t xml:space="preserve">8 défauts corrigés · 2 fiches GAF formalisées (#36, #37) · 3 secrets sur 4 tournés · 1 cycle métier complet validé pour la première fois.</w:t>
      </w:r>
    </w:p>
    <w:p>
      <w:pPr>
        <w:pStyle w:val="Heading1"/>
        <w:pBdr>
          <w:bottom w:val="single" w:color="1A6B2A" w:sz="6" w:space="4"/>
        </w:pBdr>
        <w:spacing w:after="200" w:before="400"/>
      </w:pPr>
      <w:r>
        <w:rPr>
          <w:b/>
          <w:bCs/>
          <w:color w:val="1A6B2A"/>
          <w:sz w:val="30"/>
          <w:szCs w:val="30"/>
        </w:rPr>
        <w:t xml:space="preserve">Jour 1 — 12 juillet 2026 : validation end-to-end de l'ADR-002</w:t>
      </w:r>
    </w:p>
    <w:p>
      <w:pPr>
        <w:pStyle w:val="Heading2"/>
        <w:spacing w:after="150" w:before="300"/>
      </w:pPr>
      <w:r>
        <w:rPr>
          <w:b/>
          <w:bCs/>
          <w:color w:val="222222"/>
          <w:sz w:val="24"/>
          <w:szCs w:val="24"/>
        </w:rPr>
        <w:t xml:space="preserve">Contexte</w:t>
      </w:r>
    </w:p>
    <w:p>
      <w:pPr>
        <w:spacing w:after="120"/>
      </w:pPr>
      <w:r>
        <w:rPr>
          <w:color w:val="222222"/>
          <w:sz w:val="21"/>
          <w:szCs w:val="21"/>
        </w:rPr>
        <w:t xml:space="preserve">L'ADR-001 (gouvernance événementielle des identités) et l'ADR-002 (revue d'architecture avant extension du moteur de synchronisation) avaient livré un socle de données complet — table d'événements, clé stable inter-environnements, service de synchronisation — mais aucun événement réel n'avait encore transité de bout en bout. Cette session a exécuté ce cycle pour la première fois, avec un affilié de test jetable, révélant cinq défauts qu'aucune revue de code n'avait détectés.</w:t>
      </w:r>
    </w:p>
    <w:p>
      <w:pPr>
        <w:pStyle w:val="Heading2"/>
        <w:spacing w:after="150" w:before="300"/>
      </w:pPr>
      <w:r>
        <w:rPr>
          <w:b/>
          <w:bCs/>
          <w:color w:val="222222"/>
          <w:sz w:val="24"/>
          <w:szCs w:val="24"/>
        </w:rPr>
        <w:t xml:space="preserve">Cycle validé</w:t>
      </w:r>
    </w:p>
    <w:p>
      <w:pPr>
        <w:pStyle w:val="ListParagraph"/>
        <w:numPr>
          <w:ilvl w:val="0"/>
          <w:numId w:val="1"/>
        </w:numPr>
        <w:spacing w:after="60"/>
      </w:pPr>
      <w:r>
        <w:rPr>
          <w:color w:val="222222"/>
          <w:sz w:val="21"/>
          <w:szCs w:val="21"/>
        </w:rPr>
        <w:t xml:space="preserve">Cooptation en préproduction (endpoint /preaffiliate, rattachement à un groupe de travail)</w:t>
      </w:r>
    </w:p>
    <w:p>
      <w:pPr>
        <w:pStyle w:val="ListParagraph"/>
        <w:numPr>
          <w:ilvl w:val="0"/>
          <w:numId w:val="1"/>
        </w:numPr>
        <w:spacing w:after="60"/>
      </w:pPr>
      <w:r>
        <w:rPr>
          <w:color w:val="222222"/>
          <w:sz w:val="21"/>
          <w:szCs w:val="21"/>
        </w:rPr>
        <w:t xml:space="preserve">Confirmation d'email avec mot de passe et KYC (function_title, country)</w:t>
      </w:r>
    </w:p>
    <w:p>
      <w:pPr>
        <w:pStyle w:val="ListParagraph"/>
        <w:numPr>
          <w:ilvl w:val="0"/>
          <w:numId w:val="1"/>
        </w:numPr>
        <w:spacing w:after="60"/>
      </w:pPr>
      <w:r>
        <w:rPr>
          <w:color w:val="222222"/>
          <w:sz w:val="21"/>
          <w:szCs w:val="21"/>
        </w:rPr>
        <w:t xml:space="preserve">Émission des événements AFFILIATE_CONFIRMED et WORKING_GROUP_ACTIVATED dans mg.identity_events</w:t>
      </w:r>
    </w:p>
    <w:p>
      <w:pPr>
        <w:pStyle w:val="ListParagraph"/>
        <w:numPr>
          <w:ilvl w:val="0"/>
          <w:numId w:val="1"/>
        </w:numPr>
        <w:spacing w:after="60"/>
      </w:pPr>
      <w:r>
        <w:rPr>
          <w:color w:val="222222"/>
          <w:sz w:val="21"/>
          <w:szCs w:val="21"/>
        </w:rPr>
        <w:t xml:space="preserve">Propagation automatique via identity_synchronizer.py vers l'environnement de production</w:t>
      </w:r>
    </w:p>
    <w:p>
      <w:pPr>
        <w:pStyle w:val="ListParagraph"/>
        <w:numPr>
          <w:ilvl w:val="0"/>
          <w:numId w:val="1"/>
        </w:numPr>
        <w:spacing w:after="60"/>
      </w:pPr>
      <w:r>
        <w:rPr>
          <w:color w:val="222222"/>
          <w:sz w:val="21"/>
          <w:szCs w:val="21"/>
        </w:rPr>
        <w:t xml:space="preserve">Création du compte en production avec identity_uuid identique (clé stable confirmée)</w:t>
      </w:r>
    </w:p>
    <w:p>
      <w:pPr>
        <w:pStyle w:val="ListParagraph"/>
        <w:numPr>
          <w:ilvl w:val="0"/>
          <w:numId w:val="1"/>
        </w:numPr>
        <w:spacing w:after="60"/>
      </w:pPr>
      <w:r>
        <w:rPr>
          <w:color w:val="222222"/>
          <w:sz w:val="21"/>
          <w:szCs w:val="21"/>
        </w:rPr>
        <w:t xml:space="preserve">Activation du compte via reset-password et connexion réelle réussie (JWT valide, rôle AFFILIE)</w:t>
      </w:r>
    </w:p>
    <w:p>
      <w:pPr>
        <w:pStyle w:val="Heading2"/>
        <w:spacing w:after="150" w:before="300"/>
      </w:pPr>
      <w:r>
        <w:rPr>
          <w:b/>
          <w:bCs/>
          <w:color w:val="222222"/>
          <w:sz w:val="24"/>
          <w:szCs w:val="24"/>
        </w:rPr>
        <w:t xml:space="preserve">Cinq défauts découverts et corrigés</w:t>
      </w:r>
    </w:p>
    <w:p>
      <w:pPr>
        <w:spacing w:after="100" w:before="200"/>
      </w:pPr>
      <w:r>
        <w:rPr>
          <w:b/>
          <w:bCs/>
          <w:color w:val="222222"/>
          <w:sz w:val="22"/>
          <w:szCs w:val="22"/>
        </w:rPr>
        <w:t xml:space="preserve">1. Nginx production ne proxifiait jamais /api/</w:t>
      </w:r>
      <w:r>
        <w:t xml:space="preserve">   </w:t>
      </w:r>
      <w:r>
        <w:rPr>
          <w:b/>
          <w:bCs/>
          <w:color w:val="FFFFFF"/>
          <w:sz w:val="18"/>
          <w:szCs w:val="18"/>
          <w:shd w:fill="B4232A" w:val="clear"/>
        </w:rPr>
        <w:t xml:space="preserve">  HIGH  </w:t>
      </w:r>
      <w:r>
        <w:t xml:space="preserve">   </w:t>
      </w:r>
      <w:r>
        <w:rPr>
          <w:b/>
          <w:bCs/>
          <w:color w:val="FFFFFF"/>
          <w:sz w:val="18"/>
          <w:szCs w:val="18"/>
          <w:shd w:fill="1A6B2A" w:val="clear"/>
        </w:rPr>
        <w:t xml:space="preserve">  RÉSOLU  </w:t>
      </w:r>
    </w:p>
    <w:p>
      <w:pPr>
        <w:spacing w:after="120"/>
      </w:pPr>
      <w:r>
        <w:rPr>
          <w:color w:val="222222"/>
          <w:sz w:val="21"/>
          <w:szCs w:val="21"/>
        </w:rPr>
        <w:t xml:space="preserve">Le domaine open.osa-observatory.africa ne contenait aucun bloc de proxy vers l'API — toute requête POST externe échouait en 405. Bloc de proxy ajouté, validé par nginx -t, rechargé sans interruption de service. Le portail public utilisant en réalité un domaine séparé (api.osa-observatory.africa, correctement configuré depuis l'origine), l'impact réel s'est limité au service de synchronisation lui-même.</w:t>
      </w:r>
    </w:p>
    <w:p>
      <w:pPr>
        <w:spacing w:after="100" w:before="200"/>
      </w:pPr>
      <w:r>
        <w:rPr>
          <w:b/>
          <w:bCs/>
          <w:color w:val="222222"/>
          <w:sz w:val="22"/>
          <w:szCs w:val="22"/>
        </w:rPr>
        <w:t xml:space="preserve">2. Table mg.password_reset_tokens absente en production et en développement</w:t>
      </w:r>
      <w:r>
        <w:t xml:space="preserve">   </w:t>
      </w:r>
      <w:r>
        <w:rPr>
          <w:b/>
          <w:bCs/>
          <w:color w:val="FFFFFF"/>
          <w:sz w:val="18"/>
          <w:szCs w:val="18"/>
          <w:shd w:fill="B4232A" w:val="clear"/>
        </w:rPr>
        <w:t xml:space="preserve">  HIGH  </w:t>
      </w:r>
      <w:r>
        <w:t xml:space="preserve">   </w:t>
      </w:r>
      <w:r>
        <w:rPr>
          <w:b/>
          <w:bCs/>
          <w:color w:val="FFFFFF"/>
          <w:sz w:val="18"/>
          <w:szCs w:val="18"/>
          <w:shd w:fill="1A6B2A" w:val="clear"/>
        </w:rPr>
        <w:t xml:space="preserve">  RÉSOLU  </w:t>
      </w:r>
    </w:p>
    <w:p>
      <w:pPr>
        <w:spacing w:after="120"/>
      </w:pPr>
      <w:r>
        <w:rPr>
          <w:color w:val="222222"/>
          <w:sz w:val="21"/>
          <w:szCs w:val="21"/>
        </w:rPr>
        <w:t xml:space="preserve">Un script de création destiné aux trois environnements n'avait été exécuté que sur un seul. Conséquence : la réinitialisation de mot de passe — et l'activation des comptes propagés — était cassée en production pour tout affilié réel. Script rejoué sur les deux environnements manquants, cohérence de schéma vérifiée sur l'ensemble mg/rf/ops.</w:t>
      </w:r>
    </w:p>
    <w:p>
      <w:pPr>
        <w:spacing w:after="100" w:before="200"/>
      </w:pPr>
      <w:r>
        <w:rPr>
          <w:b/>
          <w:bCs/>
          <w:color w:val="222222"/>
          <w:sz w:val="22"/>
          <w:szCs w:val="22"/>
        </w:rPr>
        <w:t xml:space="preserve">3. KYC rendu obligatoire pour tous, y compris l'affiliation volontaire</w:t>
      </w:r>
      <w:r>
        <w:t xml:space="preserve">   </w:t>
      </w:r>
      <w:r>
        <w:rPr>
          <w:b/>
          <w:bCs/>
          <w:color w:val="FFFFFF"/>
          <w:sz w:val="18"/>
          <w:szCs w:val="18"/>
          <w:shd w:fill="C8973A" w:val="clear"/>
        </w:rPr>
        <w:t xml:space="preserve">  MEDIUM  </w:t>
      </w:r>
      <w:r>
        <w:t xml:space="preserve">   </w:t>
      </w:r>
      <w:r>
        <w:rPr>
          <w:b/>
          <w:bCs/>
          <w:color w:val="FFFFFF"/>
          <w:sz w:val="18"/>
          <w:szCs w:val="18"/>
          <w:shd w:fill="1A6B2A" w:val="clear"/>
        </w:rPr>
        <w:t xml:space="preserve">  RÉSOLU  </w:t>
      </w:r>
    </w:p>
    <w:p>
      <w:pPr>
        <w:spacing w:after="120"/>
      </w:pPr>
      <w:r>
        <w:rPr>
          <w:color w:val="222222"/>
          <w:sz w:val="21"/>
          <w:szCs w:val="21"/>
        </w:rPr>
        <w:t xml:space="preserve">Un même point d'entrée technique servait deux parcours métier distincts (cooptation encadrée vs affiliation volontaire ouverte) sans les distinguer, en contradiction avec la doctrine actée. Corrigé par déduction de l'obligation à partir de l'état réel des données (existence d'un rattachement préalable), conformément à l'exigence de l'ADR-002 d'éviter toute séparation fondée sur l'environnement d'exécution.</w:t>
      </w:r>
    </w:p>
    <w:p>
      <w:pPr>
        <w:spacing w:after="100" w:before="200"/>
      </w:pPr>
      <w:r>
        <w:rPr>
          <w:b/>
          <w:bCs/>
          <w:color w:val="222222"/>
          <w:sz w:val="22"/>
          <w:szCs w:val="22"/>
        </w:rPr>
        <w:t xml:space="preserve">4. Absence de garantie d'unicité sur les rattachements actifs</w:t>
      </w:r>
      <w:r>
        <w:t xml:space="preserve">   </w:t>
      </w:r>
      <w:r>
        <w:rPr>
          <w:b/>
          <w:bCs/>
          <w:color w:val="FFFFFF"/>
          <w:sz w:val="18"/>
          <w:szCs w:val="18"/>
          <w:shd w:fill="C8973A" w:val="clear"/>
        </w:rPr>
        <w:t xml:space="preserve">  MEDIUM  </w:t>
      </w:r>
      <w:r>
        <w:t xml:space="preserve">   </w:t>
      </w:r>
      <w:r>
        <w:rPr>
          <w:b/>
          <w:bCs/>
          <w:color w:val="FFFFFF"/>
          <w:sz w:val="18"/>
          <w:szCs w:val="18"/>
          <w:shd w:fill="1A6B2A" w:val="clear"/>
        </w:rPr>
        <w:t xml:space="preserve">  RÉSOLU  </w:t>
      </w:r>
    </w:p>
    <w:p>
      <w:pPr>
        <w:spacing w:after="120"/>
      </w:pPr>
      <w:r>
        <w:rPr>
          <w:color w:val="222222"/>
          <w:sz w:val="21"/>
          <w:szCs w:val="21"/>
        </w:rPr>
        <w:t xml:space="preserve">Aucune contrainte ne protégeait contre la création de doublons en cas de rejeu d'un événement de synchronisation. Corrigé par des index uniques partiels, respectant l'historique légitime (un affilié peut quitter puis réintégrer un comité ou groupe de travail).</w:t>
      </w:r>
    </w:p>
    <w:p>
      <w:pPr>
        <w:spacing w:after="100" w:before="200"/>
      </w:pPr>
      <w:r>
        <w:rPr>
          <w:b/>
          <w:bCs/>
          <w:color w:val="222222"/>
          <w:sz w:val="22"/>
          <w:szCs w:val="22"/>
        </w:rPr>
        <w:t xml:space="preserve">5. Interpolation de variables non fonctionnelle dans l'outil de synchronisation</w:t>
      </w:r>
      <w:r>
        <w:t xml:space="preserve">   </w:t>
      </w:r>
      <w:r>
        <w:rPr>
          <w:b/>
          <w:bCs/>
          <w:color w:val="FFFFFF"/>
          <w:sz w:val="18"/>
          <w:szCs w:val="18"/>
          <w:shd w:fill="5B8A5B" w:val="clear"/>
        </w:rPr>
        <w:t xml:space="preserve">  LOW  </w:t>
      </w:r>
      <w:r>
        <w:t xml:space="preserve">   </w:t>
      </w:r>
      <w:r>
        <w:rPr>
          <w:b/>
          <w:bCs/>
          <w:color w:val="FFFFFF"/>
          <w:sz w:val="18"/>
          <w:szCs w:val="18"/>
          <w:shd w:fill="1A6B2A" w:val="clear"/>
        </w:rPr>
        <w:t xml:space="preserve">  RÉSOLU  </w:t>
      </w:r>
    </w:p>
    <w:p>
      <w:pPr>
        <w:spacing w:after="120"/>
      </w:pPr>
      <w:r>
        <w:rPr>
          <w:color w:val="222222"/>
          <w:sz w:val="21"/>
          <w:szCs w:val="21"/>
        </w:rPr>
        <w:t xml:space="preserve">Le mécanisme de substitution de variables de l'client en ligne de commande PostgreSQL s'est révélé défaillant dans cet environnement d'exécution, provoquant un échec systématique lors de la journalisation des résultats. Corrigé par un échappement des littéraux effectué directement dans le script, sans dépendre de ce mécanisme.</w:t>
      </w:r>
    </w:p>
    <w:p>
      <w:r>
        <w:br w:type="page"/>
      </w:r>
    </w:p>
    <w:p>
      <w:pPr>
        <w:pStyle w:val="Heading1"/>
        <w:pBdr>
          <w:bottom w:val="single" w:color="1A6B2A" w:sz="6" w:space="4"/>
        </w:pBdr>
        <w:spacing w:after="200" w:before="400"/>
      </w:pPr>
      <w:r>
        <w:rPr>
          <w:b/>
          <w:bCs/>
          <w:color w:val="1A6B2A"/>
          <w:sz w:val="30"/>
          <w:szCs w:val="30"/>
        </w:rPr>
        <w:t xml:space="preserve">Jour 2 — 13 juillet 2026 : infrastructure et sécurité</w:t>
      </w:r>
    </w:p>
    <w:p>
      <w:pPr>
        <w:pStyle w:val="Heading2"/>
        <w:spacing w:after="150" w:before="300"/>
      </w:pPr>
      <w:r>
        <w:rPr>
          <w:b/>
          <w:bCs/>
          <w:color w:val="222222"/>
          <w:sz w:val="24"/>
          <w:szCs w:val="24"/>
        </w:rPr>
        <w:t xml:space="preserve">Rate-limiting global inopérant</w:t>
      </w:r>
    </w:p>
    <w:p>
      <w:pPr>
        <w:spacing w:after="100" w:before="200"/>
      </w:pPr>
      <w:r>
        <w:rPr>
          <w:b/>
          <w:bCs/>
          <w:color w:val="222222"/>
          <w:sz w:val="22"/>
          <w:szCs w:val="22"/>
        </w:rPr>
        <w:t xml:space="preserve">Collision de nom entre deux tables homonymes</w:t>
      </w:r>
      <w:r>
        <w:t xml:space="preserve">   </w:t>
      </w:r>
      <w:r>
        <w:rPr>
          <w:b/>
          <w:bCs/>
          <w:color w:val="FFFFFF"/>
          <w:sz w:val="18"/>
          <w:szCs w:val="18"/>
          <w:shd w:fill="B4232A" w:val="clear"/>
        </w:rPr>
        <w:t xml:space="preserve">  HIGH  </w:t>
      </w:r>
      <w:r>
        <w:t xml:space="preserve">   </w:t>
      </w:r>
      <w:r>
        <w:rPr>
          <w:b/>
          <w:bCs/>
          <w:color w:val="FFFFFF"/>
          <w:sz w:val="18"/>
          <w:szCs w:val="18"/>
          <w:shd w:fill="1A6B2A" w:val="clear"/>
        </w:rPr>
        <w:t xml:space="preserve">  RÉSOLU  </w:t>
      </w:r>
    </w:p>
    <w:p>
      <w:pPr>
        <w:spacing w:after="120"/>
      </w:pPr>
      <w:r>
        <w:rPr>
          <w:color w:val="222222"/>
          <w:sz w:val="21"/>
          <w:szCs w:val="21"/>
        </w:rPr>
        <w:t xml:space="preserve">Le middleware global de limitation de débit — appliqué à l'ensemble de l'API, porteur des paliers d'accès public, standard, premium et expert qui structurent le modèle de diffusion à valeur ajoutée de l'Observatoire — ciblait une table qu'une évolution ultérieure du système avait recréée sous le même nom, avec une structure différente. Conséquence : chaque vérification de quota échouait silencieusement, et aucune limite n'était appliquée sur l'ensemble de la production, depuis une durée indéterminée.</w:t>
      </w:r>
    </w:p>
    <w:p>
      <w:pPr>
        <w:spacing w:after="120"/>
      </w:pPr>
      <w:r>
        <w:rPr>
          <w:color w:val="222222"/>
          <w:sz w:val="21"/>
          <w:szCs w:val="21"/>
        </w:rPr>
        <w:t xml:space="preserve">Corrigé par l'isolation complète des deux mécanismes dans des tables distinctes, sans toucher au second système (restreint aux points d'entrée d'authentification et d'affiliation), déployée sur les trois environnements. Fonctionnement vérifié en conditions réelles : les en-têtes de quota sont désormais correctement renvoyés, sans réapparition de l'erreur.</w:t>
      </w:r>
    </w:p>
    <w:p>
      <w:pPr>
        <w:pStyle w:val="Heading2"/>
        <w:spacing w:after="150" w:before="300"/>
      </w:pPr>
      <w:r>
        <w:rPr>
          <w:b/>
          <w:bCs/>
          <w:color w:val="222222"/>
          <w:sz w:val="24"/>
          <w:szCs w:val="24"/>
        </w:rPr>
        <w:t xml:space="preserve">Exposition et rotation de secrets</w:t>
      </w:r>
    </w:p>
    <w:p>
      <w:pPr>
        <w:spacing w:after="100" w:before="200"/>
      </w:pPr>
      <w:r>
        <w:rPr>
          <w:b/>
          <w:bCs/>
          <w:color w:val="222222"/>
          <w:sz w:val="22"/>
          <w:szCs w:val="22"/>
        </w:rPr>
        <w:t xml:space="preserve">Quatre secrets affichés en clair lors d'un diagnostic</w:t>
      </w:r>
      <w:r>
        <w:t xml:space="preserve">   </w:t>
      </w:r>
      <w:r>
        <w:rPr>
          <w:b/>
          <w:bCs/>
          <w:color w:val="FFFFFF"/>
          <w:sz w:val="18"/>
          <w:szCs w:val="18"/>
          <w:shd w:fill="B4232A" w:val="clear"/>
        </w:rPr>
        <w:t xml:space="preserve">  HIGH  </w:t>
      </w:r>
      <w:r>
        <w:t xml:space="preserve">   </w:t>
      </w:r>
      <w:r>
        <w:rPr>
          <w:b/>
          <w:bCs/>
          <w:color w:val="FFFFFF"/>
          <w:sz w:val="18"/>
          <w:szCs w:val="18"/>
          <w:shd w:fill="C8973A" w:val="clear"/>
        </w:rPr>
        <w:t xml:space="preserve">  RÉSOLU (3/4)  </w:t>
      </w:r>
    </w:p>
    <w:p>
      <w:pPr>
        <w:spacing w:after="120"/>
      </w:pPr>
      <w:r>
        <w:rPr>
          <w:color w:val="222222"/>
          <w:sz w:val="21"/>
          <w:szCs w:val="21"/>
        </w:rPr>
        <w:t xml:space="preserve">Une commande d'inspection destinée à retrouver une configuration réseau a affiché l'intégralité des variables d'environnement d'un conteneur, secrets compris. Une analyse structurée a établi qu'aucun utilisateur réel n'était actif sur la plateforme au moment des faits, limitant l'impact à une exposition confinée sans conséquence opérationnelle immédiate — tout en justifiant une rotation complète par prudence.</w:t>
      </w:r>
    </w:p>
    <w:p>
      <w:pPr>
        <w:spacing w:after="120"/>
      </w:pPr>
      <w:r>
        <w:rPr>
          <w:color w:val="222222"/>
          <w:sz w:val="21"/>
          <w:szCs w:val="21"/>
        </w:rPr>
        <w:t xml:space="preserve">Aggravant identifié : trois des quatre secrets étaient partagés à l'identique entre les trois environnements avant cette session, ce qui aurait permis à une exposition en développement de compromettre également la production.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2000"/>
      </w:tblGrid>
      <w:tr>
        <w:tc>
          <w:tcPr>
            <w:tcW w:type="dxa" w:w="3400"/>
            <w:shd w:fill="1A6B2A" w:val="clear"/>
            <w:tcMar>
              <w:top w:type="dxa" w:w="80"/>
              <w:left w:type="dxa" w:w="100"/>
              <w:bottom w:type="dxa" w:w="80"/>
              <w:right w:type="dxa" w:w="100"/>
            </w:tcMar>
          </w:tcPr>
          <w:p>
            <w:r>
              <w:rPr>
                <w:b/>
                <w:bCs/>
                <w:color w:val="FFFFFF"/>
                <w:sz w:val="19"/>
                <w:szCs w:val="19"/>
              </w:rPr>
              <w:t xml:space="preserve">Secret</w:t>
            </w:r>
          </w:p>
        </w:tc>
        <w:tc>
          <w:tcPr>
            <w:tcW w:type="dxa" w:w="2000"/>
            <w:shd w:fill="1A6B2A" w:val="clear"/>
            <w:tcMar>
              <w:top w:type="dxa" w:w="80"/>
              <w:left w:type="dxa" w:w="100"/>
              <w:bottom w:type="dxa" w:w="80"/>
              <w:right w:type="dxa" w:w="100"/>
            </w:tcMar>
          </w:tcPr>
          <w:p>
            <w:r>
              <w:rPr>
                <w:b/>
                <w:bCs/>
                <w:color w:val="FFFFFF"/>
                <w:sz w:val="19"/>
                <w:szCs w:val="19"/>
              </w:rPr>
              <w:t xml:space="preserve">Rôle</w:t>
            </w:r>
          </w:p>
        </w:tc>
        <w:tc>
          <w:tcPr>
            <w:tcW w:type="dxa" w:w="2000"/>
            <w:shd w:fill="1A6B2A" w:val="clear"/>
            <w:tcMar>
              <w:top w:type="dxa" w:w="80"/>
              <w:left w:type="dxa" w:w="100"/>
              <w:bottom w:type="dxa" w:w="80"/>
              <w:right w:type="dxa" w:w="100"/>
            </w:tcMar>
          </w:tcPr>
          <w:p>
            <w:r>
              <w:rPr>
                <w:b/>
                <w:bCs/>
                <w:color w:val="FFFFFF"/>
                <w:sz w:val="19"/>
                <w:szCs w:val="19"/>
              </w:rPr>
              <w:t xml:space="preserve">Statut</w:t>
            </w:r>
          </w:p>
        </w:tc>
        <w:tc>
          <w:tcPr>
            <w:tcW w:type="dxa" w:w="2000"/>
            <w:shd w:fill="1A6B2A" w:val="clear"/>
            <w:tcMar>
              <w:top w:type="dxa" w:w="80"/>
              <w:left w:type="dxa" w:w="100"/>
              <w:bottom w:type="dxa" w:w="80"/>
              <w:right w:type="dxa" w:w="100"/>
            </w:tcMar>
          </w:tcPr>
          <w:p>
            <w:r>
              <w:rPr>
                <w:b/>
                <w:bCs/>
                <w:color w:val="FFFFFF"/>
                <w:sz w:val="19"/>
                <w:szCs w:val="19"/>
              </w:rPr>
              <w:t xml:space="preserve">Portée</w:t>
            </w:r>
          </w:p>
        </w:tc>
      </w:tr>
      <w:tr>
        <w:tc>
          <w:tcPr>
            <w:tcMar>
              <w:top w:type="dxa" w:w="80"/>
              <w:left w:type="dxa" w:w="100"/>
              <w:bottom w:type="dxa" w:w="80"/>
              <w:right w:type="dxa" w:w="100"/>
            </w:tcMar>
          </w:tcPr>
          <w:p>
            <w:r>
              <w:rPr>
                <w:b w:val="false"/>
                <w:bCs w:val="false"/>
                <w:color w:val="222222"/>
                <w:sz w:val="19"/>
                <w:szCs w:val="19"/>
              </w:rPr>
              <w:t xml:space="preserve">Secret de signature des sessions</w:t>
            </w:r>
          </w:p>
        </w:tc>
        <w:tc>
          <w:tcPr>
            <w:tcMar>
              <w:top w:type="dxa" w:w="80"/>
              <w:left w:type="dxa" w:w="100"/>
              <w:bottom w:type="dxa" w:w="80"/>
              <w:right w:type="dxa" w:w="100"/>
            </w:tcMar>
          </w:tcPr>
          <w:p>
            <w:r>
              <w:rPr>
                <w:b w:val="false"/>
                <w:bCs w:val="false"/>
                <w:color w:val="222222"/>
                <w:sz w:val="19"/>
                <w:szCs w:val="19"/>
              </w:rPr>
              <w:t xml:space="preserve">Authentification</w:t>
            </w:r>
          </w:p>
        </w:tc>
        <w:tc>
          <w:tcPr>
            <w:shd w:fill="F2F2F2" w:val="clear"/>
            <w:tcMar>
              <w:top w:type="dxa" w:w="80"/>
              <w:left w:type="dxa" w:w="100"/>
              <w:bottom w:type="dxa" w:w="80"/>
              <w:right w:type="dxa" w:w="100"/>
            </w:tcMar>
          </w:tcPr>
          <w:p>
            <w:r>
              <w:rPr>
                <w:b w:val="false"/>
                <w:bCs w:val="false"/>
                <w:color w:val="222222"/>
                <w:sz w:val="19"/>
                <w:szCs w:val="19"/>
              </w:rPr>
              <w:t xml:space="preserve">Tourné</w:t>
            </w:r>
          </w:p>
        </w:tc>
        <w:tc>
          <w:tcPr>
            <w:shd w:fill="F2F2F2" w:val="clear"/>
            <w:tcMar>
              <w:top w:type="dxa" w:w="80"/>
              <w:left w:type="dxa" w:w="100"/>
              <w:bottom w:type="dxa" w:w="80"/>
              <w:right w:type="dxa" w:w="100"/>
            </w:tcMar>
          </w:tcPr>
          <w:p>
            <w:r>
              <w:rPr>
                <w:b w:val="false"/>
                <w:bCs w:val="false"/>
                <w:color w:val="222222"/>
                <w:sz w:val="19"/>
                <w:szCs w:val="19"/>
              </w:rPr>
              <w:t xml:space="preserve">3 valeurs distinctes</w:t>
            </w:r>
          </w:p>
        </w:tc>
      </w:tr>
      <w:tr>
        <w:tc>
          <w:tcPr>
            <w:tcMar>
              <w:top w:type="dxa" w:w="80"/>
              <w:left w:type="dxa" w:w="100"/>
              <w:bottom w:type="dxa" w:w="80"/>
              <w:right w:type="dxa" w:w="100"/>
            </w:tcMar>
          </w:tcPr>
          <w:p>
            <w:r>
              <w:rPr>
                <w:b w:val="false"/>
                <w:bCs w:val="false"/>
                <w:color w:val="222222"/>
                <w:sz w:val="19"/>
                <w:szCs w:val="19"/>
              </w:rPr>
              <w:t xml:space="preserve">Clé d'accès expert (API)</w:t>
            </w:r>
          </w:p>
        </w:tc>
        <w:tc>
          <w:tcPr>
            <w:tcMar>
              <w:top w:type="dxa" w:w="80"/>
              <w:left w:type="dxa" w:w="100"/>
              <w:bottom w:type="dxa" w:w="80"/>
              <w:right w:type="dxa" w:w="100"/>
            </w:tcMar>
          </w:tcPr>
          <w:p>
            <w:r>
              <w:rPr>
                <w:b w:val="false"/>
                <w:bCs w:val="false"/>
                <w:color w:val="222222"/>
                <w:sz w:val="19"/>
                <w:szCs w:val="19"/>
              </w:rPr>
              <w:t xml:space="preserve">Accès premium/expert</w:t>
            </w:r>
          </w:p>
        </w:tc>
        <w:tc>
          <w:tcPr>
            <w:tcMar>
              <w:top w:type="dxa" w:w="80"/>
              <w:left w:type="dxa" w:w="100"/>
              <w:bottom w:type="dxa" w:w="80"/>
              <w:right w:type="dxa" w:w="100"/>
            </w:tcMar>
          </w:tcPr>
          <w:p>
            <w:r>
              <w:rPr>
                <w:b w:val="false"/>
                <w:bCs w:val="false"/>
                <w:color w:val="222222"/>
                <w:sz w:val="19"/>
                <w:szCs w:val="19"/>
              </w:rPr>
              <w:t xml:space="preserve">Tourné</w:t>
            </w:r>
          </w:p>
        </w:tc>
        <w:tc>
          <w:tcPr>
            <w:tcMar>
              <w:top w:type="dxa" w:w="80"/>
              <w:left w:type="dxa" w:w="100"/>
              <w:bottom w:type="dxa" w:w="80"/>
              <w:right w:type="dxa" w:w="100"/>
            </w:tcMar>
          </w:tcPr>
          <w:p>
            <w:r>
              <w:rPr>
                <w:b w:val="false"/>
                <w:bCs w:val="false"/>
                <w:color w:val="222222"/>
                <w:sz w:val="19"/>
                <w:szCs w:val="19"/>
              </w:rPr>
              <w:t xml:space="preserve">3 valeurs distinctes</w:t>
            </w:r>
          </w:p>
        </w:tc>
      </w:tr>
      <w:tr>
        <w:tc>
          <w:tcPr>
            <w:tcMar>
              <w:top w:type="dxa" w:w="80"/>
              <w:left w:type="dxa" w:w="100"/>
              <w:bottom w:type="dxa" w:w="80"/>
              <w:right w:type="dxa" w:w="100"/>
            </w:tcMar>
          </w:tcPr>
          <w:p>
            <w:r>
              <w:rPr>
                <w:b w:val="false"/>
                <w:bCs w:val="false"/>
                <w:color w:val="222222"/>
                <w:sz w:val="19"/>
                <w:szCs w:val="19"/>
              </w:rPr>
              <w:t xml:space="preserve">Mot de passe de base de données</w:t>
            </w:r>
          </w:p>
        </w:tc>
        <w:tc>
          <w:tcPr>
            <w:tcMar>
              <w:top w:type="dxa" w:w="80"/>
              <w:left w:type="dxa" w:w="100"/>
              <w:bottom w:type="dxa" w:w="80"/>
              <w:right w:type="dxa" w:w="100"/>
            </w:tcMar>
          </w:tcPr>
          <w:p>
            <w:r>
              <w:rPr>
                <w:b w:val="false"/>
                <w:bCs w:val="false"/>
                <w:color w:val="222222"/>
                <w:sz w:val="19"/>
                <w:szCs w:val="19"/>
              </w:rPr>
              <w:t xml:space="preserve">Accès PostgreSQL</w:t>
            </w:r>
          </w:p>
        </w:tc>
        <w:tc>
          <w:tcPr>
            <w:shd w:fill="F2F2F2" w:val="clear"/>
            <w:tcMar>
              <w:top w:type="dxa" w:w="80"/>
              <w:left w:type="dxa" w:w="100"/>
              <w:bottom w:type="dxa" w:w="80"/>
              <w:right w:type="dxa" w:w="100"/>
            </w:tcMar>
          </w:tcPr>
          <w:p>
            <w:r>
              <w:rPr>
                <w:b w:val="false"/>
                <w:bCs w:val="false"/>
                <w:color w:val="222222"/>
                <w:sz w:val="19"/>
                <w:szCs w:val="19"/>
              </w:rPr>
              <w:t xml:space="preserve">Tourné</w:t>
            </w:r>
          </w:p>
        </w:tc>
        <w:tc>
          <w:tcPr>
            <w:shd w:fill="F2F2F2" w:val="clear"/>
            <w:tcMar>
              <w:top w:type="dxa" w:w="80"/>
              <w:left w:type="dxa" w:w="100"/>
              <w:bottom w:type="dxa" w:w="80"/>
              <w:right w:type="dxa" w:w="100"/>
            </w:tcMar>
          </w:tcPr>
          <w:p>
            <w:r>
              <w:rPr>
                <w:b w:val="false"/>
                <w:bCs w:val="false"/>
                <w:color w:val="222222"/>
                <w:sz w:val="19"/>
                <w:szCs w:val="19"/>
              </w:rPr>
              <w:t xml:space="preserve">1 valeur partagée*</w:t>
            </w:r>
          </w:p>
        </w:tc>
      </w:tr>
      <w:tr>
        <w:tc>
          <w:tcPr>
            <w:tcMar>
              <w:top w:type="dxa" w:w="80"/>
              <w:left w:type="dxa" w:w="100"/>
              <w:bottom w:type="dxa" w:w="80"/>
              <w:right w:type="dxa" w:w="100"/>
            </w:tcMar>
          </w:tcPr>
          <w:p>
            <w:r>
              <w:rPr>
                <w:b w:val="false"/>
                <w:bCs w:val="false"/>
                <w:color w:val="222222"/>
                <w:sz w:val="19"/>
                <w:szCs w:val="19"/>
              </w:rPr>
              <w:t xml:space="preserve">Mot de passe d'envoi d'e-mail</w:t>
            </w:r>
          </w:p>
        </w:tc>
        <w:tc>
          <w:tcPr>
            <w:tcMar>
              <w:top w:type="dxa" w:w="80"/>
              <w:left w:type="dxa" w:w="100"/>
              <w:bottom w:type="dxa" w:w="80"/>
              <w:right w:type="dxa" w:w="100"/>
            </w:tcMar>
          </w:tcPr>
          <w:p>
            <w:r>
              <w:rPr>
                <w:b w:val="false"/>
                <w:bCs w:val="false"/>
                <w:color w:val="222222"/>
                <w:sz w:val="19"/>
                <w:szCs w:val="19"/>
              </w:rPr>
              <w:t xml:space="preserve">Envoi SMTP</w:t>
            </w:r>
          </w:p>
        </w:tc>
        <w:tc>
          <w:tcPr>
            <w:tcMar>
              <w:top w:type="dxa" w:w="80"/>
              <w:left w:type="dxa" w:w="100"/>
              <w:bottom w:type="dxa" w:w="80"/>
              <w:right w:type="dxa" w:w="100"/>
            </w:tcMar>
          </w:tcPr>
          <w:p>
            <w:r>
              <w:rPr>
                <w:b w:val="false"/>
                <w:bCs w:val="false"/>
                <w:color w:val="222222"/>
                <w:sz w:val="19"/>
                <w:szCs w:val="19"/>
              </w:rPr>
              <w:t xml:space="preserve">Différé</w:t>
            </w:r>
          </w:p>
        </w:tc>
        <w:tc>
          <w:tcPr>
            <w:tcMar>
              <w:top w:type="dxa" w:w="80"/>
              <w:left w:type="dxa" w:w="100"/>
              <w:bottom w:type="dxa" w:w="80"/>
              <w:right w:type="dxa" w:w="100"/>
            </w:tcMar>
          </w:tcPr>
          <w:p>
            <w:r>
              <w:rPr>
                <w:b w:val="false"/>
                <w:bCs w:val="false"/>
                <w:color w:val="222222"/>
                <w:sz w:val="19"/>
                <w:szCs w:val="19"/>
              </w:rPr>
              <w:t xml:space="preserve">Action externe requise</w:t>
            </w:r>
          </w:p>
        </w:tc>
      </w:tr>
    </w:tbl>
    <w:p>
      <w:pPr>
        <w:spacing w:after="120"/>
      </w:pPr>
      <w:r>
        <w:rPr>
          <w:i/>
          <w:iCs/>
          <w:color w:val="666666"/>
          <w:sz w:val="18"/>
          <w:szCs w:val="18"/>
        </w:rPr>
        <w:t xml:space="preserve">* Contrainte d'architecture : conteneur PostgreSQL unique partagé par les trois bases — séparation par environnement non applicable sans refonte de l'infrastructure.</w:t>
      </w:r>
    </w:p>
    <w:p>
      <w:pPr>
        <w:spacing w:after="120"/>
      </w:pPr>
      <w:r>
        <w:rPr>
          <w:color w:val="222222"/>
          <w:sz w:val="21"/>
          <w:szCs w:val="21"/>
        </w:rPr>
        <w:t xml:space="preserve">La clé d'accès expert a en outre été révoquée en base de données (statut désactivé, non supprimée, traçabilité d'audit conservée) plutôt que simplement remplacée côté configuration — garantissant qu'une éventuelle copie de l'ancienne valeur reste définitivement inopérante.</w:t>
      </w:r>
    </w:p>
    <w:p>
      <w:pPr>
        <w:spacing w:after="120"/>
      </w:pPr>
      <w:r>
        <w:rPr>
          <w:color w:val="222222"/>
          <w:sz w:val="21"/>
          <w:szCs w:val="21"/>
        </w:rPr>
        <w:t xml:space="preserve">La rotation du mot de passe d'envoi d'e-mail a été sciemment reportée : secret externe à un fournisseur tiers, nécessitant une action manuelle hors de portée de cette session, et dont l'impact en cas de compromission reste circonscrit à l'envoi d'e-mails, sans conséquence sur l'authentification du système.</w:t>
      </w:r>
    </w:p>
    <w:p>
      <w:pPr>
        <w:pStyle w:val="Heading1"/>
        <w:pBdr>
          <w:bottom w:val="single" w:color="1A6B2A" w:sz="6" w:space="4"/>
        </w:pBdr>
        <w:spacing w:after="200" w:before="400"/>
      </w:pPr>
      <w:r>
        <w:rPr>
          <w:b/>
          <w:bCs/>
          <w:color w:val="1A6B2A"/>
          <w:sz w:val="30"/>
          <w:szCs w:val="30"/>
        </w:rPr>
        <w:t xml:space="preserve">Synthèse des chantiers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1300"/>
        <w:gridCol w:w="1600"/>
        <w:gridCol w:w="1300"/>
      </w:tblGrid>
      <w:tr>
        <w:tc>
          <w:tcPr>
            <w:tcW w:type="dxa" w:w="500"/>
            <w:shd w:fill="1A6B2A" w:val="clear"/>
            <w:tcMar>
              <w:top w:type="dxa" w:w="80"/>
              <w:left w:type="dxa" w:w="100"/>
              <w:bottom w:type="dxa" w:w="80"/>
              <w:right w:type="dxa" w:w="100"/>
            </w:tcMar>
          </w:tcPr>
          <w:p>
            <w:r>
              <w:rPr>
                <w:b/>
                <w:bCs/>
                <w:color w:val="FFFFFF"/>
                <w:sz w:val="19"/>
                <w:szCs w:val="19"/>
              </w:rPr>
              <w:t xml:space="preserve">#</w:t>
            </w:r>
          </w:p>
        </w:tc>
        <w:tc>
          <w:tcPr>
            <w:tcW w:type="dxa" w:w="4700"/>
            <w:shd w:fill="1A6B2A" w:val="clear"/>
            <w:tcMar>
              <w:top w:type="dxa" w:w="80"/>
              <w:left w:type="dxa" w:w="100"/>
              <w:bottom w:type="dxa" w:w="80"/>
              <w:right w:type="dxa" w:w="100"/>
            </w:tcMar>
          </w:tcPr>
          <w:p>
            <w:r>
              <w:rPr>
                <w:b/>
                <w:bCs/>
                <w:color w:val="FFFFFF"/>
                <w:sz w:val="19"/>
                <w:szCs w:val="19"/>
              </w:rPr>
              <w:t xml:space="preserve">Chantier</w:t>
            </w:r>
          </w:p>
        </w:tc>
        <w:tc>
          <w:tcPr>
            <w:tcW w:type="dxa" w:w="1300"/>
            <w:shd w:fill="1A6B2A" w:val="clear"/>
            <w:tcMar>
              <w:top w:type="dxa" w:w="80"/>
              <w:left w:type="dxa" w:w="100"/>
              <w:bottom w:type="dxa" w:w="80"/>
              <w:right w:type="dxa" w:w="100"/>
            </w:tcMar>
          </w:tcPr>
          <w:p>
            <w:r>
              <w:rPr>
                <w:b/>
                <w:bCs/>
                <w:color w:val="FFFFFF"/>
                <w:sz w:val="19"/>
                <w:szCs w:val="19"/>
              </w:rPr>
              <w:t xml:space="preserve">Sévérité</w:t>
            </w:r>
          </w:p>
        </w:tc>
        <w:tc>
          <w:tcPr>
            <w:tcW w:type="dxa" w:w="1600"/>
            <w:shd w:fill="1A6B2A" w:val="clear"/>
            <w:tcMar>
              <w:top w:type="dxa" w:w="80"/>
              <w:left w:type="dxa" w:w="100"/>
              <w:bottom w:type="dxa" w:w="80"/>
              <w:right w:type="dxa" w:w="100"/>
            </w:tcMar>
          </w:tcPr>
          <w:p>
            <w:r>
              <w:rPr>
                <w:b/>
                <w:bCs/>
                <w:color w:val="FFFFFF"/>
                <w:sz w:val="19"/>
                <w:szCs w:val="19"/>
              </w:rPr>
              <w:t xml:space="preserve">Statut</w:t>
            </w:r>
          </w:p>
        </w:tc>
        <w:tc>
          <w:tcPr>
            <w:tcW w:type="dxa" w:w="1300"/>
            <w:shd w:fill="1A6B2A" w:val="clear"/>
            <w:tcMar>
              <w:top w:type="dxa" w:w="80"/>
              <w:left w:type="dxa" w:w="100"/>
              <w:bottom w:type="dxa" w:w="80"/>
              <w:right w:type="dxa" w:w="100"/>
            </w:tcMar>
          </w:tcPr>
          <w:p>
            <w:r>
              <w:rPr>
                <w:b/>
                <w:bCs/>
                <w:color w:val="FFFFFF"/>
                <w:sz w:val="19"/>
                <w:szCs w:val="19"/>
              </w:rPr>
              <w:t xml:space="preserve">Fiche GAF</w:t>
            </w:r>
          </w:p>
        </w:tc>
      </w:tr>
      <w:tr>
        <w:tc>
          <w:tcPr>
            <w:tcW w:type="dxa" w:w="500"/>
            <w:tcMar>
              <w:top w:type="dxa" w:w="80"/>
              <w:left w:type="dxa" w:w="100"/>
              <w:bottom w:type="dxa" w:w="80"/>
              <w:right w:type="dxa" w:w="100"/>
            </w:tcMar>
          </w:tcPr>
          <w:p>
            <w:r>
              <w:rPr>
                <w:b w:val="false"/>
                <w:bCs w:val="false"/>
                <w:color w:val="222222"/>
                <w:sz w:val="19"/>
                <w:szCs w:val="19"/>
              </w:rPr>
              <w:t xml:space="preserve">1</w:t>
            </w:r>
          </w:p>
        </w:tc>
        <w:tc>
          <w:tcPr>
            <w:tcW w:type="dxa" w:w="4700"/>
            <w:tcMar>
              <w:top w:type="dxa" w:w="80"/>
              <w:left w:type="dxa" w:w="100"/>
              <w:bottom w:type="dxa" w:w="80"/>
              <w:right w:type="dxa" w:w="100"/>
            </w:tcMar>
          </w:tcPr>
          <w:p>
            <w:r>
              <w:rPr>
                <w:b w:val="false"/>
                <w:bCs w:val="false"/>
                <w:color w:val="222222"/>
                <w:sz w:val="19"/>
                <w:szCs w:val="19"/>
              </w:rPr>
              <w:t xml:space="preserve">Cycle complet ADR-002 validé de bout en bout</w:t>
            </w:r>
          </w:p>
        </w:tc>
        <w:tc>
          <w:tcPr>
            <w:tcW w:type="dxa" w:w="1300"/>
            <w:tcMar>
              <w:top w:type="dxa" w:w="80"/>
              <w:left w:type="dxa" w:w="100"/>
              <w:bottom w:type="dxa" w:w="80"/>
              <w:right w:type="dxa" w:w="100"/>
            </w:tcMar>
          </w:tcPr>
          <w:p>
            <w:r>
              <w:rPr>
                <w:b w:val="false"/>
                <w:bCs w:val="false"/>
                <w:color w:val="222222"/>
                <w:sz w:val="19"/>
                <w:szCs w:val="19"/>
              </w:rPr>
              <w:t xml:space="preserve">—</w:t>
            </w:r>
          </w:p>
        </w:tc>
        <w:tc>
          <w:tcPr>
            <w:tcW w:type="dxa" w:w="1600"/>
            <w:tcMar>
              <w:top w:type="dxa" w:w="80"/>
              <w:left w:type="dxa" w:w="100"/>
              <w:bottom w:type="dxa" w:w="80"/>
              <w:right w:type="dxa" w:w="100"/>
            </w:tcMar>
          </w:tcPr>
          <w:p>
            <w:r>
              <w:rPr>
                <w:b w:val="false"/>
                <w:bCs w:val="false"/>
                <w:color w:val="222222"/>
                <w:sz w:val="19"/>
                <w:szCs w:val="19"/>
              </w:rPr>
              <w:t xml:space="preserve">Validé</w:t>
            </w:r>
          </w:p>
        </w:tc>
        <w:tc>
          <w:tcPr>
            <w:tcW w:type="dxa" w:w="1300"/>
            <w:tcMar>
              <w:top w:type="dxa" w:w="80"/>
              <w:left w:type="dxa" w:w="100"/>
              <w:bottom w:type="dxa" w:w="80"/>
              <w:right w:type="dxa" w:w="100"/>
            </w:tcMar>
          </w:tcPr>
          <w:p>
            <w:r>
              <w:rPr>
                <w:b w:val="false"/>
                <w:bCs w:val="false"/>
                <w:color w:val="222222"/>
                <w:sz w:val="19"/>
                <w:szCs w:val="19"/>
              </w:rPr>
              <w:t xml:space="preserve">#35 / #36</w:t>
            </w:r>
          </w:p>
        </w:tc>
      </w:tr>
      <w:tr>
        <w:tc>
          <w:tcPr>
            <w:tcW w:type="dxa" w:w="500"/>
            <w:shd w:fill="F2F2F2" w:val="clear"/>
            <w:tcMar>
              <w:top w:type="dxa" w:w="80"/>
              <w:left w:type="dxa" w:w="100"/>
              <w:bottom w:type="dxa" w:w="80"/>
              <w:right w:type="dxa" w:w="100"/>
            </w:tcMar>
          </w:tcPr>
          <w:p>
            <w:r>
              <w:rPr>
                <w:b w:val="false"/>
                <w:bCs w:val="false"/>
                <w:color w:val="222222"/>
                <w:sz w:val="19"/>
                <w:szCs w:val="19"/>
              </w:rPr>
              <w:t xml:space="preserve">2</w:t>
            </w:r>
          </w:p>
        </w:tc>
        <w:tc>
          <w:tcPr>
            <w:tcW w:type="dxa" w:w="4700"/>
            <w:shd w:fill="F2F2F2" w:val="clear"/>
            <w:tcMar>
              <w:top w:type="dxa" w:w="80"/>
              <w:left w:type="dxa" w:w="100"/>
              <w:bottom w:type="dxa" w:w="80"/>
              <w:right w:type="dxa" w:w="100"/>
            </w:tcMar>
          </w:tcPr>
          <w:p>
            <w:r>
              <w:rPr>
                <w:b w:val="false"/>
                <w:bCs w:val="false"/>
                <w:color w:val="222222"/>
                <w:sz w:val="19"/>
                <w:szCs w:val="19"/>
              </w:rPr>
              <w:t xml:space="preserve">Nginx prod : /api/ non proxifié (405 sur tout appel externe)</w:t>
            </w:r>
          </w:p>
        </w:tc>
        <w:tc>
          <w:tcPr>
            <w:tcW w:type="dxa" w:w="1300"/>
            <w:shd w:fill="F2F2F2" w:val="clear"/>
            <w:tcMar>
              <w:top w:type="dxa" w:w="80"/>
              <w:left w:type="dxa" w:w="100"/>
              <w:bottom w:type="dxa" w:w="80"/>
              <w:right w:type="dxa" w:w="100"/>
            </w:tcMar>
          </w:tcPr>
          <w:p>
            <w:r>
              <w:rPr>
                <w:b w:val="false"/>
                <w:bCs w:val="false"/>
                <w:color w:val="222222"/>
                <w:sz w:val="19"/>
                <w:szCs w:val="19"/>
              </w:rPr>
              <w:t xml:space="preserve">HIGH</w:t>
            </w:r>
          </w:p>
        </w:tc>
        <w:tc>
          <w:tcPr>
            <w:tcW w:type="dxa" w:w="1600"/>
            <w:shd w:fill="F2F2F2" w:val="clear"/>
            <w:tcMar>
              <w:top w:type="dxa" w:w="80"/>
              <w:left w:type="dxa" w:w="100"/>
              <w:bottom w:type="dxa" w:w="80"/>
              <w:right w:type="dxa" w:w="100"/>
            </w:tcMar>
          </w:tcPr>
          <w:p>
            <w:r>
              <w:rPr>
                <w:b w:val="false"/>
                <w:bCs w:val="false"/>
                <w:color w:val="222222"/>
                <w:sz w:val="19"/>
                <w:szCs w:val="19"/>
              </w:rPr>
              <w:t xml:space="preserve">Résolu</w:t>
            </w:r>
          </w:p>
        </w:tc>
        <w:tc>
          <w:tcPr>
            <w:tcW w:type="dxa" w:w="1300"/>
            <w:shd w:fill="F2F2F2" w:val="clear"/>
            <w:tcMar>
              <w:top w:type="dxa" w:w="80"/>
              <w:left w:type="dxa" w:w="100"/>
              <w:bottom w:type="dxa" w:w="80"/>
              <w:right w:type="dxa" w:w="100"/>
            </w:tcMar>
          </w:tcPr>
          <w:p>
            <w:r>
              <w:rPr>
                <w:b w:val="false"/>
                <w:bCs w:val="false"/>
                <w:color w:val="222222"/>
                <w:sz w:val="19"/>
                <w:szCs w:val="19"/>
              </w:rPr>
              <w:t xml:space="preserve">#36</w:t>
            </w:r>
          </w:p>
        </w:tc>
      </w:tr>
      <w:tr>
        <w:tc>
          <w:tcPr>
            <w:tcW w:type="dxa" w:w="500"/>
            <w:tcMar>
              <w:top w:type="dxa" w:w="80"/>
              <w:left w:type="dxa" w:w="100"/>
              <w:bottom w:type="dxa" w:w="80"/>
              <w:right w:type="dxa" w:w="100"/>
            </w:tcMar>
          </w:tcPr>
          <w:p>
            <w:r>
              <w:rPr>
                <w:b w:val="false"/>
                <w:bCs w:val="false"/>
                <w:color w:val="222222"/>
                <w:sz w:val="19"/>
                <w:szCs w:val="19"/>
              </w:rPr>
              <w:t xml:space="preserve">3</w:t>
            </w:r>
          </w:p>
        </w:tc>
        <w:tc>
          <w:tcPr>
            <w:tcW w:type="dxa" w:w="4700"/>
            <w:tcMar>
              <w:top w:type="dxa" w:w="80"/>
              <w:left w:type="dxa" w:w="100"/>
              <w:bottom w:type="dxa" w:w="80"/>
              <w:right w:type="dxa" w:w="100"/>
            </w:tcMar>
          </w:tcPr>
          <w:p>
            <w:r>
              <w:rPr>
                <w:b w:val="false"/>
                <w:bCs w:val="false"/>
                <w:color w:val="222222"/>
                <w:sz w:val="19"/>
                <w:szCs w:val="19"/>
              </w:rPr>
              <w:t xml:space="preserve">mg.password_reset_tokens absente sur osa_db et osa_dev</w:t>
            </w:r>
          </w:p>
        </w:tc>
        <w:tc>
          <w:tcPr>
            <w:tcW w:type="dxa" w:w="1300"/>
            <w:tcMar>
              <w:top w:type="dxa" w:w="80"/>
              <w:left w:type="dxa" w:w="100"/>
              <w:bottom w:type="dxa" w:w="80"/>
              <w:right w:type="dxa" w:w="100"/>
            </w:tcMar>
          </w:tcPr>
          <w:p>
            <w:r>
              <w:rPr>
                <w:b w:val="false"/>
                <w:bCs w:val="false"/>
                <w:color w:val="222222"/>
                <w:sz w:val="19"/>
                <w:szCs w:val="19"/>
              </w:rPr>
              <w:t xml:space="preserve">HIGH</w:t>
            </w:r>
          </w:p>
        </w:tc>
        <w:tc>
          <w:tcPr>
            <w:tcW w:type="dxa" w:w="1600"/>
            <w:tcMar>
              <w:top w:type="dxa" w:w="80"/>
              <w:left w:type="dxa" w:w="100"/>
              <w:bottom w:type="dxa" w:w="80"/>
              <w:right w:type="dxa" w:w="100"/>
            </w:tcMar>
          </w:tcPr>
          <w:p>
            <w:r>
              <w:rPr>
                <w:b w:val="false"/>
                <w:bCs w:val="false"/>
                <w:color w:val="222222"/>
                <w:sz w:val="19"/>
                <w:szCs w:val="19"/>
              </w:rPr>
              <w:t xml:space="preserve">Résolu</w:t>
            </w:r>
          </w:p>
        </w:tc>
        <w:tc>
          <w:tcPr>
            <w:tcW w:type="dxa" w:w="1300"/>
            <w:tcMar>
              <w:top w:type="dxa" w:w="80"/>
              <w:left w:type="dxa" w:w="100"/>
              <w:bottom w:type="dxa" w:w="80"/>
              <w:right w:type="dxa" w:w="100"/>
            </w:tcMar>
          </w:tcPr>
          <w:p>
            <w:r>
              <w:rPr>
                <w:b w:val="false"/>
                <w:bCs w:val="false"/>
                <w:color w:val="222222"/>
                <w:sz w:val="19"/>
                <w:szCs w:val="19"/>
              </w:rPr>
              <w:t xml:space="preserve">#36</w:t>
            </w:r>
          </w:p>
        </w:tc>
      </w:tr>
      <w:tr>
        <w:tc>
          <w:tcPr>
            <w:tcW w:type="dxa" w:w="500"/>
            <w:shd w:fill="F2F2F2" w:val="clear"/>
            <w:tcMar>
              <w:top w:type="dxa" w:w="80"/>
              <w:left w:type="dxa" w:w="100"/>
              <w:bottom w:type="dxa" w:w="80"/>
              <w:right w:type="dxa" w:w="100"/>
            </w:tcMar>
          </w:tcPr>
          <w:p>
            <w:r>
              <w:rPr>
                <w:b w:val="false"/>
                <w:bCs w:val="false"/>
                <w:color w:val="222222"/>
                <w:sz w:val="19"/>
                <w:szCs w:val="19"/>
              </w:rPr>
              <w:t xml:space="preserve">4</w:t>
            </w:r>
          </w:p>
        </w:tc>
        <w:tc>
          <w:tcPr>
            <w:tcW w:type="dxa" w:w="4700"/>
            <w:shd w:fill="F2F2F2" w:val="clear"/>
            <w:tcMar>
              <w:top w:type="dxa" w:w="80"/>
              <w:left w:type="dxa" w:w="100"/>
              <w:bottom w:type="dxa" w:w="80"/>
              <w:right w:type="dxa" w:w="100"/>
            </w:tcMar>
          </w:tcPr>
          <w:p>
            <w:r>
              <w:rPr>
                <w:b w:val="false"/>
                <w:bCs w:val="false"/>
                <w:color w:val="222222"/>
                <w:sz w:val="19"/>
                <w:szCs w:val="19"/>
              </w:rPr>
              <w:t xml:space="preserve">KYC forcé à tort sur l'affiliation volontaire</w:t>
            </w:r>
          </w:p>
        </w:tc>
        <w:tc>
          <w:tcPr>
            <w:tcW w:type="dxa" w:w="1300"/>
            <w:shd w:fill="F2F2F2" w:val="clear"/>
            <w:tcMar>
              <w:top w:type="dxa" w:w="80"/>
              <w:left w:type="dxa" w:w="100"/>
              <w:bottom w:type="dxa" w:w="80"/>
              <w:right w:type="dxa" w:w="100"/>
            </w:tcMar>
          </w:tcPr>
          <w:p>
            <w:r>
              <w:rPr>
                <w:b w:val="false"/>
                <w:bCs w:val="false"/>
                <w:color w:val="222222"/>
                <w:sz w:val="19"/>
                <w:szCs w:val="19"/>
              </w:rPr>
              <w:t xml:space="preserve">MEDIUM</w:t>
            </w:r>
          </w:p>
        </w:tc>
        <w:tc>
          <w:tcPr>
            <w:tcW w:type="dxa" w:w="1600"/>
            <w:shd w:fill="F2F2F2" w:val="clear"/>
            <w:tcMar>
              <w:top w:type="dxa" w:w="80"/>
              <w:left w:type="dxa" w:w="100"/>
              <w:bottom w:type="dxa" w:w="80"/>
              <w:right w:type="dxa" w:w="100"/>
            </w:tcMar>
          </w:tcPr>
          <w:p>
            <w:r>
              <w:rPr>
                <w:b w:val="false"/>
                <w:bCs w:val="false"/>
                <w:color w:val="222222"/>
                <w:sz w:val="19"/>
                <w:szCs w:val="19"/>
              </w:rPr>
              <w:t xml:space="preserve">Résolu</w:t>
            </w:r>
          </w:p>
        </w:tc>
        <w:tc>
          <w:tcPr>
            <w:tcW w:type="dxa" w:w="1300"/>
            <w:shd w:fill="F2F2F2" w:val="clear"/>
            <w:tcMar>
              <w:top w:type="dxa" w:w="80"/>
              <w:left w:type="dxa" w:w="100"/>
              <w:bottom w:type="dxa" w:w="80"/>
              <w:right w:type="dxa" w:w="100"/>
            </w:tcMar>
          </w:tcPr>
          <w:p>
            <w:r>
              <w:rPr>
                <w:b w:val="false"/>
                <w:bCs w:val="false"/>
                <w:color w:val="222222"/>
                <w:sz w:val="19"/>
                <w:szCs w:val="19"/>
              </w:rPr>
              <w:t xml:space="preserve">#36</w:t>
            </w:r>
          </w:p>
        </w:tc>
      </w:tr>
      <w:tr>
        <w:tc>
          <w:tcPr>
            <w:tcW w:type="dxa" w:w="500"/>
            <w:tcMar>
              <w:top w:type="dxa" w:w="80"/>
              <w:left w:type="dxa" w:w="100"/>
              <w:bottom w:type="dxa" w:w="80"/>
              <w:right w:type="dxa" w:w="100"/>
            </w:tcMar>
          </w:tcPr>
          <w:p>
            <w:r>
              <w:rPr>
                <w:b w:val="false"/>
                <w:bCs w:val="false"/>
                <w:color w:val="222222"/>
                <w:sz w:val="19"/>
                <w:szCs w:val="19"/>
              </w:rPr>
              <w:t xml:space="preserve">5</w:t>
            </w:r>
          </w:p>
        </w:tc>
        <w:tc>
          <w:tcPr>
            <w:tcW w:type="dxa" w:w="4700"/>
            <w:tcMar>
              <w:top w:type="dxa" w:w="80"/>
              <w:left w:type="dxa" w:w="100"/>
              <w:bottom w:type="dxa" w:w="80"/>
              <w:right w:type="dxa" w:w="100"/>
            </w:tcMar>
          </w:tcPr>
          <w:p>
            <w:r>
              <w:rPr>
                <w:b w:val="false"/>
                <w:bCs w:val="false"/>
                <w:color w:val="222222"/>
                <w:sz w:val="19"/>
                <w:szCs w:val="19"/>
              </w:rPr>
              <w:t xml:space="preserve">Absence d'idempotence (committee/working_group_members)</w:t>
            </w:r>
          </w:p>
        </w:tc>
        <w:tc>
          <w:tcPr>
            <w:tcW w:type="dxa" w:w="1300"/>
            <w:tcMar>
              <w:top w:type="dxa" w:w="80"/>
              <w:left w:type="dxa" w:w="100"/>
              <w:bottom w:type="dxa" w:w="80"/>
              <w:right w:type="dxa" w:w="100"/>
            </w:tcMar>
          </w:tcPr>
          <w:p>
            <w:r>
              <w:rPr>
                <w:b w:val="false"/>
                <w:bCs w:val="false"/>
                <w:color w:val="222222"/>
                <w:sz w:val="19"/>
                <w:szCs w:val="19"/>
              </w:rPr>
              <w:t xml:space="preserve">MEDIUM</w:t>
            </w:r>
          </w:p>
        </w:tc>
        <w:tc>
          <w:tcPr>
            <w:tcW w:type="dxa" w:w="1600"/>
            <w:tcMar>
              <w:top w:type="dxa" w:w="80"/>
              <w:left w:type="dxa" w:w="100"/>
              <w:bottom w:type="dxa" w:w="80"/>
              <w:right w:type="dxa" w:w="100"/>
            </w:tcMar>
          </w:tcPr>
          <w:p>
            <w:r>
              <w:rPr>
                <w:b w:val="false"/>
                <w:bCs w:val="false"/>
                <w:color w:val="222222"/>
                <w:sz w:val="19"/>
                <w:szCs w:val="19"/>
              </w:rPr>
              <w:t xml:space="preserve">Résolu</w:t>
            </w:r>
          </w:p>
        </w:tc>
        <w:tc>
          <w:tcPr>
            <w:tcW w:type="dxa" w:w="1300"/>
            <w:tcMar>
              <w:top w:type="dxa" w:w="80"/>
              <w:left w:type="dxa" w:w="100"/>
              <w:bottom w:type="dxa" w:w="80"/>
              <w:right w:type="dxa" w:w="100"/>
            </w:tcMar>
          </w:tcPr>
          <w:p>
            <w:r>
              <w:rPr>
                <w:b w:val="false"/>
                <w:bCs w:val="false"/>
                <w:color w:val="222222"/>
                <w:sz w:val="19"/>
                <w:szCs w:val="19"/>
              </w:rPr>
              <w:t xml:space="preserve">#36</w:t>
            </w:r>
          </w:p>
        </w:tc>
      </w:tr>
      <w:tr>
        <w:tc>
          <w:tcPr>
            <w:tcW w:type="dxa" w:w="500"/>
            <w:shd w:fill="F2F2F2" w:val="clear"/>
            <w:tcMar>
              <w:top w:type="dxa" w:w="80"/>
              <w:left w:type="dxa" w:w="100"/>
              <w:bottom w:type="dxa" w:w="80"/>
              <w:right w:type="dxa" w:w="100"/>
            </w:tcMar>
          </w:tcPr>
          <w:p>
            <w:r>
              <w:rPr>
                <w:b w:val="false"/>
                <w:bCs w:val="false"/>
                <w:color w:val="222222"/>
                <w:sz w:val="19"/>
                <w:szCs w:val="19"/>
              </w:rPr>
              <w:t xml:space="preserve">6</w:t>
            </w:r>
          </w:p>
        </w:tc>
        <w:tc>
          <w:tcPr>
            <w:tcW w:type="dxa" w:w="4700"/>
            <w:shd w:fill="F2F2F2" w:val="clear"/>
            <w:tcMar>
              <w:top w:type="dxa" w:w="80"/>
              <w:left w:type="dxa" w:w="100"/>
              <w:bottom w:type="dxa" w:w="80"/>
              <w:right w:type="dxa" w:w="100"/>
            </w:tcMar>
          </w:tcPr>
          <w:p>
            <w:r>
              <w:rPr>
                <w:b w:val="false"/>
                <w:bCs w:val="false"/>
                <w:color w:val="222222"/>
                <w:sz w:val="19"/>
                <w:szCs w:val="19"/>
              </w:rPr>
              <w:t xml:space="preserve">Interpolation psql non fonctionnelle (identity_synchronizer.py)</w:t>
            </w:r>
          </w:p>
        </w:tc>
        <w:tc>
          <w:tcPr>
            <w:tcW w:type="dxa" w:w="1300"/>
            <w:shd w:fill="F2F2F2" w:val="clear"/>
            <w:tcMar>
              <w:top w:type="dxa" w:w="80"/>
              <w:left w:type="dxa" w:w="100"/>
              <w:bottom w:type="dxa" w:w="80"/>
              <w:right w:type="dxa" w:w="100"/>
            </w:tcMar>
          </w:tcPr>
          <w:p>
            <w:r>
              <w:rPr>
                <w:b w:val="false"/>
                <w:bCs w:val="false"/>
                <w:color w:val="222222"/>
                <w:sz w:val="19"/>
                <w:szCs w:val="19"/>
              </w:rPr>
              <w:t xml:space="preserve">LOW</w:t>
            </w:r>
          </w:p>
        </w:tc>
        <w:tc>
          <w:tcPr>
            <w:tcW w:type="dxa" w:w="1600"/>
            <w:shd w:fill="F2F2F2" w:val="clear"/>
            <w:tcMar>
              <w:top w:type="dxa" w:w="80"/>
              <w:left w:type="dxa" w:w="100"/>
              <w:bottom w:type="dxa" w:w="80"/>
              <w:right w:type="dxa" w:w="100"/>
            </w:tcMar>
          </w:tcPr>
          <w:p>
            <w:r>
              <w:rPr>
                <w:b w:val="false"/>
                <w:bCs w:val="false"/>
                <w:color w:val="222222"/>
                <w:sz w:val="19"/>
                <w:szCs w:val="19"/>
              </w:rPr>
              <w:t xml:space="preserve">Résolu</w:t>
            </w:r>
          </w:p>
        </w:tc>
        <w:tc>
          <w:tcPr>
            <w:tcW w:type="dxa" w:w="1300"/>
            <w:shd w:fill="F2F2F2" w:val="clear"/>
            <w:tcMar>
              <w:top w:type="dxa" w:w="80"/>
              <w:left w:type="dxa" w:w="100"/>
              <w:bottom w:type="dxa" w:w="80"/>
              <w:right w:type="dxa" w:w="100"/>
            </w:tcMar>
          </w:tcPr>
          <w:p>
            <w:r>
              <w:rPr>
                <w:b w:val="false"/>
                <w:bCs w:val="false"/>
                <w:color w:val="222222"/>
                <w:sz w:val="19"/>
                <w:szCs w:val="19"/>
              </w:rPr>
              <w:t xml:space="preserve">#36</w:t>
            </w:r>
          </w:p>
        </w:tc>
      </w:tr>
      <w:tr>
        <w:tc>
          <w:tcPr>
            <w:tcW w:type="dxa" w:w="500"/>
            <w:tcMar>
              <w:top w:type="dxa" w:w="80"/>
              <w:left w:type="dxa" w:w="100"/>
              <w:bottom w:type="dxa" w:w="80"/>
              <w:right w:type="dxa" w:w="100"/>
            </w:tcMar>
          </w:tcPr>
          <w:p>
            <w:r>
              <w:rPr>
                <w:b w:val="false"/>
                <w:bCs w:val="false"/>
                <w:color w:val="222222"/>
                <w:sz w:val="19"/>
                <w:szCs w:val="19"/>
              </w:rPr>
              <w:t xml:space="preserve">7</w:t>
            </w:r>
          </w:p>
        </w:tc>
        <w:tc>
          <w:tcPr>
            <w:tcW w:type="dxa" w:w="4700"/>
            <w:tcMar>
              <w:top w:type="dxa" w:w="80"/>
              <w:left w:type="dxa" w:w="100"/>
              <w:bottom w:type="dxa" w:w="80"/>
              <w:right w:type="dxa" w:w="100"/>
            </w:tcMar>
          </w:tcPr>
          <w:p>
            <w:r>
              <w:rPr>
                <w:b w:val="false"/>
                <w:bCs w:val="false"/>
                <w:color w:val="222222"/>
                <w:sz w:val="19"/>
                <w:szCs w:val="19"/>
              </w:rPr>
              <w:t xml:space="preserve">Rate-limiting global cassé (collision de table)</w:t>
            </w:r>
          </w:p>
        </w:tc>
        <w:tc>
          <w:tcPr>
            <w:tcW w:type="dxa" w:w="1300"/>
            <w:tcMar>
              <w:top w:type="dxa" w:w="80"/>
              <w:left w:type="dxa" w:w="100"/>
              <w:bottom w:type="dxa" w:w="80"/>
              <w:right w:type="dxa" w:w="100"/>
            </w:tcMar>
          </w:tcPr>
          <w:p>
            <w:r>
              <w:rPr>
                <w:b w:val="false"/>
                <w:bCs w:val="false"/>
                <w:color w:val="222222"/>
                <w:sz w:val="19"/>
                <w:szCs w:val="19"/>
              </w:rPr>
              <w:t xml:space="preserve">HIGH</w:t>
            </w:r>
          </w:p>
        </w:tc>
        <w:tc>
          <w:tcPr>
            <w:tcW w:type="dxa" w:w="1600"/>
            <w:tcMar>
              <w:top w:type="dxa" w:w="80"/>
              <w:left w:type="dxa" w:w="100"/>
              <w:bottom w:type="dxa" w:w="80"/>
              <w:right w:type="dxa" w:w="100"/>
            </w:tcMar>
          </w:tcPr>
          <w:p>
            <w:r>
              <w:rPr>
                <w:b w:val="false"/>
                <w:bCs w:val="false"/>
                <w:color w:val="222222"/>
                <w:sz w:val="19"/>
                <w:szCs w:val="19"/>
              </w:rPr>
              <w:t xml:space="preserve">Résolu</w:t>
            </w:r>
          </w:p>
        </w:tc>
        <w:tc>
          <w:tcPr>
            <w:tcW w:type="dxa" w:w="1300"/>
            <w:tcMar>
              <w:top w:type="dxa" w:w="80"/>
              <w:left w:type="dxa" w:w="100"/>
              <w:bottom w:type="dxa" w:w="80"/>
              <w:right w:type="dxa" w:w="100"/>
            </w:tcMar>
          </w:tcPr>
          <w:p>
            <w:r>
              <w:rPr>
                <w:b w:val="false"/>
                <w:bCs w:val="false"/>
                <w:color w:val="222222"/>
                <w:sz w:val="19"/>
                <w:szCs w:val="19"/>
              </w:rPr>
              <w:t xml:space="preserve">#37</w:t>
            </w:r>
          </w:p>
        </w:tc>
      </w:tr>
      <w:tr>
        <w:tc>
          <w:tcPr>
            <w:tcW w:type="dxa" w:w="500"/>
            <w:shd w:fill="F2F2F2" w:val="clear"/>
            <w:tcMar>
              <w:top w:type="dxa" w:w="80"/>
              <w:left w:type="dxa" w:w="100"/>
              <w:bottom w:type="dxa" w:w="80"/>
              <w:right w:type="dxa" w:w="100"/>
            </w:tcMar>
          </w:tcPr>
          <w:p>
            <w:r>
              <w:rPr>
                <w:b w:val="false"/>
                <w:bCs w:val="false"/>
                <w:color w:val="222222"/>
                <w:sz w:val="19"/>
                <w:szCs w:val="19"/>
              </w:rPr>
              <w:t xml:space="preserve">8</w:t>
            </w:r>
          </w:p>
        </w:tc>
        <w:tc>
          <w:tcPr>
            <w:tcW w:type="dxa" w:w="4700"/>
            <w:shd w:fill="F2F2F2" w:val="clear"/>
            <w:tcMar>
              <w:top w:type="dxa" w:w="80"/>
              <w:left w:type="dxa" w:w="100"/>
              <w:bottom w:type="dxa" w:w="80"/>
              <w:right w:type="dxa" w:w="100"/>
            </w:tcMar>
          </w:tcPr>
          <w:p>
            <w:r>
              <w:rPr>
                <w:b w:val="false"/>
                <w:bCs w:val="false"/>
                <w:color w:val="222222"/>
                <w:sz w:val="19"/>
                <w:szCs w:val="19"/>
              </w:rPr>
              <w:t xml:space="preserve">Secrets exposés en clair (diagnostic Docker)</w:t>
            </w:r>
          </w:p>
        </w:tc>
        <w:tc>
          <w:tcPr>
            <w:tcW w:type="dxa" w:w="1300"/>
            <w:shd w:fill="F2F2F2" w:val="clear"/>
            <w:tcMar>
              <w:top w:type="dxa" w:w="80"/>
              <w:left w:type="dxa" w:w="100"/>
              <w:bottom w:type="dxa" w:w="80"/>
              <w:right w:type="dxa" w:w="100"/>
            </w:tcMar>
          </w:tcPr>
          <w:p>
            <w:r>
              <w:rPr>
                <w:b w:val="false"/>
                <w:bCs w:val="false"/>
                <w:color w:val="222222"/>
                <w:sz w:val="19"/>
                <w:szCs w:val="19"/>
              </w:rPr>
              <w:t xml:space="preserve">HIGH</w:t>
            </w:r>
          </w:p>
        </w:tc>
        <w:tc>
          <w:tcPr>
            <w:tcW w:type="dxa" w:w="1600"/>
            <w:shd w:fill="F2F2F2" w:val="clear"/>
            <w:tcMar>
              <w:top w:type="dxa" w:w="80"/>
              <w:left w:type="dxa" w:w="100"/>
              <w:bottom w:type="dxa" w:w="80"/>
              <w:right w:type="dxa" w:w="100"/>
            </w:tcMar>
          </w:tcPr>
          <w:p>
            <w:r>
              <w:rPr>
                <w:b w:val="false"/>
                <w:bCs w:val="false"/>
                <w:color w:val="222222"/>
                <w:sz w:val="19"/>
                <w:szCs w:val="19"/>
              </w:rPr>
              <w:t xml:space="preserve">Résolu (3/4)</w:t>
            </w:r>
          </w:p>
        </w:tc>
        <w:tc>
          <w:tcPr>
            <w:tcW w:type="dxa" w:w="1300"/>
            <w:shd w:fill="F2F2F2" w:val="clear"/>
            <w:tcMar>
              <w:top w:type="dxa" w:w="80"/>
              <w:left w:type="dxa" w:w="100"/>
              <w:bottom w:type="dxa" w:w="80"/>
              <w:right w:type="dxa" w:w="100"/>
            </w:tcMar>
          </w:tcPr>
          <w:p>
            <w:r>
              <w:rPr>
                <w:b w:val="false"/>
                <w:bCs w:val="false"/>
                <w:color w:val="222222"/>
                <w:sz w:val="19"/>
                <w:szCs w:val="19"/>
              </w:rPr>
              <w:t xml:space="preserve">#37</w:t>
            </w:r>
          </w:p>
        </w:tc>
      </w:tr>
    </w:tbl>
    <w:p>
      <w:pPr>
        <w:pStyle w:val="Heading1"/>
        <w:pBdr>
          <w:bottom w:val="single" w:color="1A6B2A" w:sz="6" w:space="4"/>
        </w:pBdr>
        <w:spacing w:after="200" w:before="400"/>
      </w:pPr>
      <w:r>
        <w:rPr>
          <w:b/>
          <w:bCs/>
          <w:color w:val="1A6B2A"/>
          <w:sz w:val="30"/>
          <w:szCs w:val="30"/>
        </w:rPr>
        <w:t xml:space="preserve">Points de suivi ouverts</w:t>
      </w:r>
    </w:p>
    <w:p>
      <w:pPr>
        <w:pStyle w:val="ListParagraph"/>
        <w:numPr>
          <w:ilvl w:val="0"/>
          <w:numId w:val="1"/>
        </w:numPr>
        <w:spacing w:after="60"/>
      </w:pPr>
      <w:r>
        <w:rPr>
          <w:color w:val="222222"/>
          <w:sz w:val="21"/>
          <w:szCs w:val="21"/>
        </w:rPr>
        <w:t xml:space="preserve">Rotation du mot de passe SMTP — dès accès à l'interface d'administration du fournisseur</w:t>
      </w:r>
    </w:p>
    <w:p>
      <w:pPr>
        <w:pStyle w:val="ListParagraph"/>
        <w:numPr>
          <w:ilvl w:val="0"/>
          <w:numId w:val="1"/>
        </w:numPr>
        <w:spacing w:after="60"/>
      </w:pPr>
      <w:r>
        <w:rPr>
          <w:color w:val="222222"/>
          <w:sz w:val="21"/>
          <w:szCs w:val="21"/>
        </w:rPr>
        <w:t xml:space="preserve">Réplication de la table mg.password_reset_tokens et de la contrainte associée sur tout futur environnement additionnel</w:t>
      </w:r>
    </w:p>
    <w:p>
      <w:pPr>
        <w:pStyle w:val="ListParagraph"/>
        <w:numPr>
          <w:ilvl w:val="0"/>
          <w:numId w:val="1"/>
        </w:numPr>
        <w:spacing w:after="60"/>
      </w:pPr>
      <w:r>
        <w:rPr>
          <w:color w:val="222222"/>
          <w:sz w:val="21"/>
          <w:szCs w:val="21"/>
        </w:rPr>
        <w:t xml:space="preserve">Politique de secrets distincts par environnement à formaliser comme principe permanent, au-delà des trois secrets déjà traités cette session</w:t>
      </w:r>
    </w:p>
    <w:p>
      <w:pPr>
        <w:pStyle w:val="Heading1"/>
        <w:pBdr>
          <w:bottom w:val="single" w:color="1A6B2A" w:sz="6" w:space="4"/>
        </w:pBdr>
        <w:spacing w:after="200" w:before="400"/>
      </w:pPr>
      <w:r>
        <w:rPr>
          <w:b/>
          <w:bCs/>
          <w:color w:val="1A6B2A"/>
          <w:sz w:val="30"/>
          <w:szCs w:val="30"/>
        </w:rPr>
        <w:t xml:space="preserve">Conclusion</w:t>
      </w:r>
    </w:p>
    <w:p>
      <w:pPr>
        <w:spacing w:after="120"/>
      </w:pPr>
      <w:r>
        <w:rPr>
          <w:color w:val="222222"/>
          <w:sz w:val="21"/>
          <w:szCs w:val="21"/>
        </w:rPr>
        <w:t xml:space="preserve">Ces deux journées ont transformé une architecture validée sur le papier en un mécanisme prouvé en conditions réelles, tout en assainissant deux angles morts indépendants — l'un fonctionnel (limitation de débit), l'autre sécuritaire (secrets partagés) — qui subsistaient depuis plusieurs sprints sans avoir été détectés faute de test de bout en bout. L'ensemble des corrections est documenté dans les fiches GAF #36 et #37, conformément à la doctrine de traçabilité de l'Observatoire.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OSA Observatory — Rapport 12-13 juillet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2026-07-13T11:25:10.150Z</dcterms:created>
  <dcterms:modified xsi:type="dcterms:W3CDTF">2026-07-13T11:25:10.175Z</dcterms:modified>
</cp:coreProperties>
</file>

<file path=docProps/custom.xml><?xml version="1.0" encoding="utf-8"?>
<Properties xmlns="http://schemas.openxmlformats.org/officeDocument/2006/custom-properties" xmlns:vt="http://schemas.openxmlformats.org/officeDocument/2006/docPropsVTypes"/>
</file>