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0"/>
          <w:szCs w:val="20"/>
        </w:rPr>
        <w:t xml:space="preserve"/>
      </w:r>
    </w:p>
    <w:p>
      <w:pPr>
        <w:spacing w:after="60" w:before="60"/>
      </w:pPr>
      <w:r>
        <w:rPr>
          <w:sz w:val="20"/>
          <w:szCs w:val="20"/>
        </w:rPr>
        <w:t xml:space="preserve"/>
      </w:r>
    </w:p>
    <w:p>
      <w:pPr>
        <w:spacing w:after="80" w:before="480"/>
        <w:jc w:val="center"/>
      </w:pPr>
      <w:r>
        <w:rPr>
          <w:rFonts w:ascii="Arial" w:cs="Arial" w:eastAsia="Arial" w:hAnsi="Arial"/>
          <w:b/>
          <w:bCs/>
          <w:color w:val="1F4E79"/>
          <w:sz w:val="56"/>
          <w:szCs w:val="56"/>
        </w:rPr>
        <w:t xml:space="preserve">OSA OBSERVATORY</w:t>
      </w:r>
    </w:p>
    <w:p>
      <w:pPr>
        <w:spacing w:after="80" w:before="0"/>
        <w:jc w:val="center"/>
      </w:pPr>
      <w:r>
        <w:rPr>
          <w:rFonts w:ascii="Arial" w:cs="Arial" w:eastAsia="Arial" w:hAnsi="Arial"/>
          <w:i/>
          <w:iCs/>
          <w:color w:val="2E75B6"/>
          <w:sz w:val="28"/>
          <w:szCs w:val="28"/>
        </w:rPr>
        <w:t xml:space="preserve">Observatoire de la Souveraineté Africaine</w:t>
      </w:r>
    </w:p>
    <w:p>
      <w:pPr>
        <w:pBdr>
          <w:bottom w:val="single" w:color="C55A11" w:sz="8" w:space="1"/>
        </w:pBdr>
        <w:spacing w:after="60" w:before="60"/>
      </w:pPr>
      <w:r>
        <w:rPr>
          <w:sz w:val="4"/>
          <w:szCs w:val="4"/>
        </w:rPr>
        <w:t xml:space="preserve"/>
      </w:r>
    </w:p>
    <w:p>
      <w:pPr>
        <w:spacing w:after="60" w:before="60"/>
      </w:pPr>
      <w:r>
        <w:rPr>
          <w:sz w:val="20"/>
          <w:szCs w:val="20"/>
        </w:rPr>
        <w:t xml:space="preserve"/>
      </w:r>
    </w:p>
    <w:p>
      <w:pPr>
        <w:spacing w:after="40" w:before="120"/>
        <w:jc w:val="center"/>
      </w:pPr>
      <w:r>
        <w:rPr>
          <w:rFonts w:ascii="Arial" w:cs="Arial" w:eastAsia="Arial" w:hAnsi="Arial"/>
          <w:b/>
          <w:bCs/>
          <w:color w:val="C55A11"/>
          <w:sz w:val="44"/>
          <w:szCs w:val="44"/>
        </w:rPr>
        <w:t xml:space="preserve">DOCUMENT DE CADRAGE</w:t>
      </w:r>
    </w:p>
    <w:p>
      <w:pPr>
        <w:spacing w:after="200" w:before="0"/>
        <w:jc w:val="center"/>
      </w:pPr>
      <w:r>
        <w:rPr>
          <w:rFonts w:ascii="Arial" w:cs="Arial" w:eastAsia="Arial" w:hAnsi="Arial"/>
          <w:color w:val="1A1A1A"/>
          <w:sz w:val="26"/>
          <w:szCs w:val="26"/>
        </w:rPr>
        <w:t xml:space="preserve">SPRINT 19 — Stabilisation &amp; Collecte 2025</w:t>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Paramètre</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Période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Juin – Août 2026</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Statut</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PLANIFIÉ</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Prérequis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Sprint 18 ✅ CLOS — Production en ligne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Objectif stratégique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 doctr. corrigée + données 2025 intégrées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Lancement cible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Septembre 2026 — Accès institutionnel</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Rédacteur</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Secrétariat technique OSA</w:t>
            </w:r>
          </w:p>
        </w:tc>
      </w:tr>
    </w:tbl>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r>
        <w:br w:type="page"/>
      </w:r>
    </w:p>
    <w:p>
      <w:pPr>
        <w:pStyle w:val="Heading1"/>
        <w:spacing w:after="160" w:before="320"/>
      </w:pPr>
      <w:r>
        <w:rPr>
          <w:rFonts w:ascii="Arial" w:cs="Arial" w:eastAsia="Arial" w:hAnsi="Arial"/>
          <w:b/>
          <w:bCs/>
          <w:color w:val="1F4E79"/>
          <w:sz w:val="36"/>
          <w:szCs w:val="36"/>
        </w:rPr>
        <w:t xml:space="preserve">1. Contexte et héritages Sprint 18</w:t>
      </w:r>
    </w:p>
    <w:p>
      <w:pPr>
        <w:pBdr>
          <w:bottom w:val="single" w:color="2E75B6" w:sz="8" w:space="1"/>
        </w:pBdr>
        <w:spacing w:after="60" w:before="60"/>
      </w:pPr>
      <w:r>
        <w:rPr>
          <w:sz w:val="4"/>
          <w:szCs w:val="4"/>
        </w:rPr>
        <w:t xml:space="preserve"/>
      </w:r>
    </w:p>
    <w:p>
      <w:pPr>
        <w:spacing w:after="60" w:before="60"/>
      </w:pPr>
      <w:r>
        <w:rPr>
          <w:sz w:val="20"/>
          <w:szCs w:val="20"/>
        </w:rPr>
        <w:t xml:space="preserve"/>
      </w:r>
    </w:p>
    <w:p>
      <w:pPr>
        <w:spacing w:after="80" w:before="80"/>
        <w:jc w:val="both"/>
      </w:pPr>
      <w:r>
        <w:rPr>
          <w:rFonts w:ascii="Arial" w:cs="Arial" w:eastAsia="Arial" w:hAnsi="Arial"/>
          <w:b w:val="false"/>
          <w:bCs w:val="false"/>
          <w:i w:val="false"/>
          <w:iCs w:val="false"/>
          <w:color w:val="1A1A1A"/>
          <w:sz w:val="22"/>
          <w:szCs w:val="22"/>
        </w:rPr>
        <w:t xml:space="preserve">Le Sprint 18 a livré l’infrastructure de production complète : VPS Infomaniak opérationnel à Plan-les-Ouates (Suisse), stack Docker 4 containers, HTTPS validé, sauvegarde automatique locale et Swiss Backup, et six corrections doctrinales dans la couche pub.*. Le Sprint 19 prend le relais sur deux fronts simultanés : stabiliser la base technique héritée et intégrer les données 2025 avant le lancement de septembre.</w:t>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none" w:color="FFFFFF" w:sz="0"/>
              <w:left w:val="none" w:color="FFFFFF" w:sz="0"/>
              <w:bottom w:val="none" w:color="FFFFFF" w:sz="0"/>
              <w:right w:val="none" w:color="FFFFFF" w:sz="0"/>
            </w:tcBorders>
            <w:shd w:fill="D9E2F3" w:val="clear"/>
            <w:tcMar>
              <w:top w:type="dxa" w:w="120"/>
              <w:left w:type="dxa" w:w="80"/>
              <w:bottom w:type="dxa" w:w="120"/>
              <w:right w:type="dxa" w:w="80"/>
            </w:tcMar>
          </w:tcPr>
          <w:p>
            <w:pPr>
              <w:jc w:val="center"/>
            </w:pPr>
            <w:r>
              <w:rPr>
                <w:rFonts w:ascii="Arial" w:cs="Arial" w:eastAsia="Arial" w:hAnsi="Arial"/>
                <w:b/>
                <w:bCs/>
                <w:color w:val="1F4E79"/>
                <w:sz w:val="44"/>
                <w:szCs w:val="44"/>
              </w:rPr>
              <w:t xml:space="preserve">4</w:t>
            </w:r>
          </w:p>
          <w:p>
            <w:pPr>
              <w:jc w:val="center"/>
            </w:pPr>
            <w:r>
              <w:rPr>
                <w:rFonts w:ascii="Arial" w:cs="Arial" w:eastAsia="Arial" w:hAnsi="Arial"/>
                <w:color w:val="666666"/>
                <w:sz w:val="16"/>
                <w:szCs w:val="16"/>
              </w:rPr>
              <w:t xml:space="preserve">Chantiers Sprint 19</w:t>
            </w:r>
          </w:p>
        </w:tc>
        <w:tc>
          <w:tcPr>
            <w:tcW w:type="dxa" w:w="2256"/>
            <w:tcBorders>
              <w:top w:val="none" w:color="FFFFFF" w:sz="0"/>
              <w:left w:val="none" w:color="FFFFFF" w:sz="0"/>
              <w:bottom w:val="none" w:color="FFFFFF" w:sz="0"/>
              <w:right w:val="none" w:color="FFFFFF" w:sz="0"/>
            </w:tcBorders>
            <w:shd w:fill="D9E2F3" w:val="clear"/>
            <w:tcMar>
              <w:top w:type="dxa" w:w="120"/>
              <w:left w:type="dxa" w:w="80"/>
              <w:bottom w:type="dxa" w:w="120"/>
              <w:right w:type="dxa" w:w="80"/>
            </w:tcMar>
          </w:tcPr>
          <w:p>
            <w:pPr>
              <w:jc w:val="center"/>
            </w:pPr>
            <w:r>
              <w:rPr>
                <w:rFonts w:ascii="Arial" w:cs="Arial" w:eastAsia="Arial" w:hAnsi="Arial"/>
                <w:b/>
                <w:bCs/>
                <w:color w:val="1F7A6E"/>
                <w:sz w:val="44"/>
                <w:szCs w:val="44"/>
              </w:rPr>
              <w:t xml:space="preserve">7</w:t>
            </w:r>
          </w:p>
          <w:p>
            <w:pPr>
              <w:jc w:val="center"/>
            </w:pPr>
            <w:r>
              <w:rPr>
                <w:rFonts w:ascii="Arial" w:cs="Arial" w:eastAsia="Arial" w:hAnsi="Arial"/>
                <w:color w:val="666666"/>
                <w:sz w:val="16"/>
                <w:szCs w:val="16"/>
              </w:rPr>
              <w:t xml:space="preserve">Sources données 2025</w:t>
            </w:r>
          </w:p>
        </w:tc>
        <w:tc>
          <w:tcPr>
            <w:tcW w:type="dxa" w:w="2256"/>
            <w:tcBorders>
              <w:top w:val="none" w:color="FFFFFF" w:sz="0"/>
              <w:left w:val="none" w:color="FFFFFF" w:sz="0"/>
              <w:bottom w:val="none" w:color="FFFFFF" w:sz="0"/>
              <w:right w:val="none" w:color="FFFFFF" w:sz="0"/>
            </w:tcBorders>
            <w:shd w:fill="D9E2F3" w:val="clear"/>
            <w:tcMar>
              <w:top w:type="dxa" w:w="120"/>
              <w:left w:type="dxa" w:w="80"/>
              <w:bottom w:type="dxa" w:w="120"/>
              <w:right w:type="dxa" w:w="80"/>
            </w:tcMar>
          </w:tcPr>
          <w:p>
            <w:pPr>
              <w:jc w:val="center"/>
            </w:pPr>
            <w:r>
              <w:rPr>
                <w:rFonts w:ascii="Arial" w:cs="Arial" w:eastAsia="Arial" w:hAnsi="Arial"/>
                <w:b/>
                <w:bCs/>
                <w:color w:val="C55A11"/>
                <w:sz w:val="44"/>
                <w:szCs w:val="44"/>
              </w:rPr>
              <w:t xml:space="preserve">5</w:t>
            </w:r>
          </w:p>
          <w:p>
            <w:pPr>
              <w:jc w:val="center"/>
            </w:pPr>
            <w:r>
              <w:rPr>
                <w:rFonts w:ascii="Arial" w:cs="Arial" w:eastAsia="Arial" w:hAnsi="Arial"/>
                <w:color w:val="666666"/>
                <w:sz w:val="16"/>
                <w:szCs w:val="16"/>
              </w:rPr>
              <w:t xml:space="preserve">Endpoints à corriger</w:t>
            </w:r>
          </w:p>
        </w:tc>
        <w:tc>
          <w:tcPr>
            <w:tcW w:type="dxa" w:w="2258"/>
            <w:tcBorders>
              <w:top w:val="none" w:color="FFFFFF" w:sz="0"/>
              <w:left w:val="none" w:color="FFFFFF" w:sz="0"/>
              <w:bottom w:val="none" w:color="FFFFFF" w:sz="0"/>
              <w:right w:val="none" w:color="FFFFFF" w:sz="0"/>
            </w:tcBorders>
            <w:shd w:fill="D9E2F3" w:val="clear"/>
            <w:tcMar>
              <w:top w:type="dxa" w:w="120"/>
              <w:left w:type="dxa" w:w="80"/>
              <w:bottom w:type="dxa" w:w="120"/>
              <w:right w:type="dxa" w:w="80"/>
            </w:tcMar>
          </w:tcPr>
          <w:p>
            <w:pPr>
              <w:jc w:val="center"/>
            </w:pPr>
            <w:r>
              <w:rPr>
                <w:rFonts w:ascii="Arial" w:cs="Arial" w:eastAsia="Arial" w:hAnsi="Arial"/>
                <w:b/>
                <w:bCs/>
                <w:color w:val="C00000"/>
                <w:sz w:val="44"/>
                <w:szCs w:val="44"/>
              </w:rPr>
              <w:t xml:space="preserve">16</w:t>
            </w:r>
          </w:p>
          <w:p>
            <w:pPr>
              <w:jc w:val="center"/>
            </w:pPr>
            <w:r>
              <w:rPr>
                <w:rFonts w:ascii="Arial" w:cs="Arial" w:eastAsia="Arial" w:hAnsi="Arial"/>
                <w:color w:val="666666"/>
                <w:sz w:val="16"/>
                <w:szCs w:val="16"/>
              </w:rPr>
              <w:t xml:space="preserve">Semaines jusqu'au lancement</w:t>
            </w:r>
          </w:p>
        </w:tc>
      </w:tr>
    </w:tbl>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2"/>
              <w:left w:val="single" w:color="C55A11" w:sz="24"/>
              <w:bottom w:val="single" w:color="CCCCCC" w:sz="4"/>
              <w:right w:val="single" w:color="CCCCCC" w:sz="4"/>
            </w:tcBorders>
            <w:shd w:fill="FFF3CD" w:val="clear"/>
            <w:tcMar>
              <w:top w:type="dxa" w:w="120"/>
              <w:left w:type="dxa" w:w="200"/>
              <w:bottom w:type="dxa" w:w="120"/>
              <w:right w:type="dxa" w:w="120"/>
            </w:tcMar>
          </w:tcPr>
          <w:p>
            <w:r>
              <w:rPr>
                <w:rFonts w:ascii="Arial" w:cs="Arial" w:eastAsia="Arial" w:hAnsi="Arial"/>
                <w:b/>
                <w:bCs/>
                <w:color w:val="C55A11"/>
                <w:sz w:val="22"/>
                <w:szCs w:val="22"/>
              </w:rPr>
              <w:t xml:space="preserve">Héritages Sprint 18 à solder en priorité</w:t>
            </w:r>
          </w:p>
          <w:p>
            <w:pPr>
              <w:spacing w:before="40"/>
            </w:pPr>
            <w:r>
              <w:rPr>
                <w:rFonts w:ascii="Arial" w:cs="Arial" w:eastAsia="Arial" w:hAnsi="Arial"/>
                <w:color w:val="1A1A1A"/>
                <w:sz w:val="20"/>
                <w:szCs w:val="20"/>
              </w:rPr>
              <w:t xml:space="preserve">rankings.py : isa_rank/regional_rank/sovereign_momentum encore utilisés dans les requêtes SQL — incohérent avec les vues pub.* corrigées. opendata.py : sovereign_momentum, CC-BY-4.0, affiliation_call SaaS. early_warning.py : 500 pre-auth sur 3 endpoints (héritage audit Sprint 17 2E).</w:t>
            </w:r>
          </w:p>
        </w:tc>
      </w:tr>
    </w:tbl>
    <w:p>
      <w:pPr>
        <w:spacing w:after="60" w:before="60"/>
      </w:pPr>
      <w:r>
        <w:rPr>
          <w:sz w:val="20"/>
          <w:szCs w:val="20"/>
        </w:rPr>
        <w:t xml:space="preserve"/>
      </w:r>
    </w:p>
    <w:p>
      <w:r>
        <w:br w:type="page"/>
      </w:r>
    </w:p>
    <w:p>
      <w:pPr>
        <w:pStyle w:val="Heading1"/>
        <w:spacing w:after="160" w:before="320"/>
      </w:pPr>
      <w:r>
        <w:rPr>
          <w:rFonts w:ascii="Arial" w:cs="Arial" w:eastAsia="Arial" w:hAnsi="Arial"/>
          <w:b/>
          <w:bCs/>
          <w:color w:val="1F4E79"/>
          <w:sz w:val="36"/>
          <w:szCs w:val="36"/>
        </w:rPr>
        <w:t xml:space="preserve">2. Chantier A — Corrections doctrinales API</w:t>
      </w:r>
    </w:p>
    <w:p>
      <w:pPr>
        <w:pBdr>
          <w:bottom w:val="single" w:color="C55A11" w:sz="8" w:space="1"/>
        </w:pBdr>
        <w:spacing w:after="60" w:before="60"/>
      </w:pPr>
      <w:r>
        <w:rPr>
          <w:sz w:val="4"/>
          <w:szCs w:val="4"/>
        </w:rPr>
        <w:t xml:space="preserve"/>
      </w:r>
    </w:p>
    <w:p>
      <w:pPr>
        <w:spacing w:after="60" w:before="60"/>
      </w:pPr>
      <w:r>
        <w:rPr>
          <w:sz w:val="20"/>
          <w:szCs w:val="20"/>
        </w:rPr>
        <w:t xml:space="preserve"/>
      </w:r>
    </w:p>
    <w:p>
      <w:pPr>
        <w:spacing w:after="80" w:before="80"/>
        <w:jc w:val="both"/>
      </w:pPr>
      <w:r>
        <w:rPr>
          <w:rFonts w:ascii="Arial" w:cs="Arial" w:eastAsia="Arial" w:hAnsi="Arial"/>
          <w:b w:val="false"/>
          <w:bCs w:val="false"/>
          <w:i w:val="false"/>
          <w:iCs w:val="false"/>
          <w:color w:val="1A1A1A"/>
          <w:sz w:val="22"/>
          <w:szCs w:val="22"/>
        </w:rPr>
        <w:t xml:space="preserve">Ce chantier solde les incohérences entre les vues pub.* corrigées au Sprint 18 et les routers FastAPI qui les interrogent avec les anciens noms de champs. Il s’agit de corrections ponctuelles — aucune restructuration architecturale.</w:t>
      </w:r>
    </w:p>
    <w:p>
      <w:pPr>
        <w:spacing w:after="60" w:before="60"/>
      </w:pPr>
      <w:r>
        <w:rPr>
          <w:sz w:val="20"/>
          <w:szCs w:val="20"/>
        </w:rPr>
        <w:t xml:space="preserve"/>
      </w:r>
    </w:p>
    <w:p>
      <w:pPr>
        <w:pStyle w:val="Heading2"/>
        <w:spacing w:after="120" w:before="240"/>
      </w:pPr>
      <w:r>
        <w:rPr>
          <w:rFonts w:ascii="Arial" w:cs="Arial" w:eastAsia="Arial" w:hAnsi="Arial"/>
          <w:b/>
          <w:bCs/>
          <w:color w:val="2E75B6"/>
          <w:sz w:val="28"/>
          <w:szCs w:val="28"/>
        </w:rPr>
        <w:t xml:space="preserve">2.1 rankings.py — Renommage endpoint et champs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226"/>
      </w:tblGrid>
      <w:tr>
        <w:trPr>
          <w:tblHeader/>
        </w:trPr>
        <w:tc>
          <w:tcPr>
            <w:tcW w:type="dxa" w:w="2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w:t>
            </w:r>
          </w:p>
        </w:tc>
        <w:tc>
          <w:tcPr>
            <w:tcW w:type="dxa" w:w="2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Avant</w:t>
            </w:r>
          </w:p>
        </w:tc>
        <w:tc>
          <w:tcPr>
            <w:tcW w:type="dxa" w:w="2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Après</w:t>
            </w:r>
          </w:p>
        </w:tc>
        <w:tc>
          <w:tcPr>
            <w:tcW w:type="dxa" w:w="1226"/>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rankings.py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prefix=/api/v2/rankings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prefix=/api/v2/scores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Route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rankings.py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isa_rank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isa_position</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Champ 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rankings.py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regional_rank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regional_position</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Champ SQL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rankings.py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sovereign_momentum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sovereign_trajectory</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Champ 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rankings.py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"rankings":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"scores": data</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Clé JSON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rankings.py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Rankings are informational...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Positions are computed for reference...</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Disclaimer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main.py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Redirection 301 à ajouter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/api/v2/rankings → /api/v2/scores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Compatibilité</w:t>
            </w:r>
          </w:p>
        </w:tc>
      </w:tr>
    </w:tbl>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CCCCCC" w:sz="4"/>
              <w:right w:val="single" w:color="CCCCCC" w:sz="4"/>
            </w:tcBorders>
            <w:shd w:fill="D9E2F3" w:val="clear"/>
            <w:tcMar>
              <w:top w:type="dxa" w:w="120"/>
              <w:left w:type="dxa" w:w="200"/>
              <w:bottom w:type="dxa" w:w="120"/>
              <w:right w:type="dxa" w:w="120"/>
            </w:tcMar>
          </w:tcPr>
          <w:p>
            <w:r>
              <w:rPr>
                <w:rFonts w:ascii="Arial" w:cs="Arial" w:eastAsia="Arial" w:hAnsi="Arial"/>
                <w:b/>
                <w:bCs/>
                <w:color w:val="2E75B6"/>
                <w:sz w:val="22"/>
                <w:szCs w:val="22"/>
              </w:rPr>
              <w:t xml:space="preserve">[DECISION] Compatibilité endpoint rankings</w:t>
            </w:r>
          </w:p>
          <w:p>
            <w:pPr>
              <w:spacing w:before="40"/>
            </w:pPr>
            <w:r>
              <w:rPr>
                <w:rFonts w:ascii="Arial" w:cs="Arial" w:eastAsia="Arial" w:hAnsi="Arial"/>
                <w:color w:val="1A1A1A"/>
                <w:sz w:val="20"/>
                <w:szCs w:val="20"/>
              </w:rPr>
              <w:t xml:space="preserve">Ajouter une redirection 301 permanente /api/v2/rankings → /api/v2/scores dans main.py. Aucun partenaire institutionnel ne cite encore l’URL publiquement — la fenêtre de migration est ouverte. La redirection sera supprimée au Sprint 21 (post-lancement).</w:t>
            </w:r>
          </w:p>
        </w:tc>
      </w:tr>
    </w:tbl>
    <w:p>
      <w:pPr>
        <w:spacing w:after="60" w:before="60"/>
      </w:pPr>
      <w:r>
        <w:rPr>
          <w:sz w:val="20"/>
          <w:szCs w:val="20"/>
        </w:rPr>
        <w:t xml:space="preserve"/>
      </w:r>
    </w:p>
    <w:p>
      <w:pPr>
        <w:pStyle w:val="Heading2"/>
        <w:spacing w:after="120" w:before="240"/>
      </w:pPr>
      <w:r>
        <w:rPr>
          <w:rFonts w:ascii="Arial" w:cs="Arial" w:eastAsia="Arial" w:hAnsi="Arial"/>
          <w:b/>
          <w:bCs/>
          <w:color w:val="2E75B6"/>
          <w:sz w:val="28"/>
          <w:szCs w:val="28"/>
        </w:rPr>
        <w:t xml:space="preserve">2.2 opendata.py — Doctrine et licence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3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Avant</w:t>
            </w:r>
          </w:p>
        </w:tc>
        <w:tc>
          <w:tcPr>
            <w:tcW w:type="dxa" w:w="3226"/>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Après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Filtre momentum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sovereign_momentum = :momentum</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sovereign_trajectory = :momentum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Licence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CC-BY-4.0</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CC-BY-NC-4.0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affiliation_call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Subscribe at open.osa-observatory.org...</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 institutional access at open.osa-observatory.org...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Tag OpenAPI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 Data -- CC-BY-4.0</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 Data -- CC-BY-NC-4.0</w:t>
            </w:r>
          </w:p>
        </w:tc>
      </w:tr>
    </w:tbl>
    <w:p>
      <w:pPr>
        <w:spacing w:after="60" w:before="60"/>
      </w:pPr>
      <w:r>
        <w:rPr>
          <w:sz w:val="20"/>
          <w:szCs w:val="20"/>
        </w:rPr>
        <w:t xml:space="preserve"/>
      </w:r>
    </w:p>
    <w:p>
      <w:r>
        <w:br w:type="page"/>
      </w:r>
    </w:p>
    <w:p>
      <w:pPr>
        <w:pStyle w:val="Heading1"/>
        <w:spacing w:after="160" w:before="320"/>
      </w:pPr>
      <w:r>
        <w:rPr>
          <w:rFonts w:ascii="Arial" w:cs="Arial" w:eastAsia="Arial" w:hAnsi="Arial"/>
          <w:b/>
          <w:bCs/>
          <w:color w:val="1F4E79"/>
          <w:sz w:val="36"/>
          <w:szCs w:val="36"/>
        </w:rPr>
        <w:t xml:space="preserve">3. Chantier B — Correction 500 pre-auth</w:t>
      </w:r>
    </w:p>
    <w:p>
      <w:pPr>
        <w:pBdr>
          <w:bottom w:val="single" w:color="C00000" w:sz="8" w:space="1"/>
        </w:pBdr>
        <w:spacing w:after="60" w:before="60"/>
      </w:pPr>
      <w:r>
        <w:rPr>
          <w:sz w:val="4"/>
          <w:szCs w:val="4"/>
        </w:rPr>
        <w:t xml:space="preserve"/>
      </w:r>
    </w:p>
    <w:p>
      <w:pPr>
        <w:spacing w:after="60" w:before="60"/>
      </w:pPr>
      <w:r>
        <w:rPr>
          <w:sz w:val="20"/>
          <w:szCs w:val="20"/>
        </w:rPr>
        <w:t xml:space="preserve"/>
      </w:r>
    </w:p>
    <w:p>
      <w:pPr>
        <w:spacing w:after="80" w:before="80"/>
        <w:jc w:val="both"/>
      </w:pPr>
      <w:r>
        <w:rPr>
          <w:rFonts w:ascii="Arial" w:cs="Arial" w:eastAsia="Arial" w:hAnsi="Arial"/>
          <w:b w:val="false"/>
          <w:bCs w:val="false"/>
          <w:i w:val="false"/>
          <w:iCs w:val="false"/>
          <w:color w:val="1A1A1A"/>
          <w:sz w:val="22"/>
          <w:szCs w:val="22"/>
        </w:rPr>
        <w:t xml:space="preserve">Identifiés lors de l’audit de sécurité Sprint 17 (chantier 2E), ces endpoints retournent HTTP 500 avant même que l’authentification soit vérifiée. La logique métier s’exécute avant le contrôle d’accès, ce qui masque les 401/403 attendus. Aucune donnée sensible n’est exposée — mais le comportement est incorrect et doit être corrigé avant tout accès institutionnel.</w:t>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12"/>
              <w:left w:val="single" w:color="C00000" w:sz="24"/>
              <w:bottom w:val="single" w:color="CCCCCC" w:sz="4"/>
              <w:right w:val="single" w:color="CCCCCC" w:sz="4"/>
            </w:tcBorders>
            <w:shd w:fill="FDE9E9" w:val="clear"/>
            <w:tcMar>
              <w:top w:type="dxa" w:w="120"/>
              <w:left w:type="dxa" w:w="200"/>
              <w:bottom w:type="dxa" w:w="120"/>
              <w:right w:type="dxa" w:w="120"/>
            </w:tcMar>
          </w:tcPr>
          <w:p>
            <w:r>
              <w:rPr>
                <w:rFonts w:ascii="Arial" w:cs="Arial" w:eastAsia="Arial" w:hAnsi="Arial"/>
                <w:b/>
                <w:bCs/>
                <w:color w:val="C00000"/>
                <w:sz w:val="22"/>
                <w:szCs w:val="22"/>
              </w:rPr>
              <w:t xml:space="preserve">Principe doctrinal OSA</w:t>
            </w:r>
          </w:p>
          <w:p>
            <w:pPr>
              <w:spacing w:before="40"/>
            </w:pPr>
            <w:r>
              <w:rPr>
                <w:rFonts w:ascii="Arial" w:cs="Arial" w:eastAsia="Arial" w:hAnsi="Arial"/>
                <w:color w:val="1A1A1A"/>
                <w:sz w:val="20"/>
                <w:szCs w:val="20"/>
              </w:rPr>
              <w:t xml:space="preserve">L’authentification doit être vérifiée AVANT toute exécution de logique métier. Un endpoint qui retourne 500 avant 401 est une anomalie architecturale, même si aucune donnée n’est exposée.</w:t>
            </w:r>
          </w:p>
        </w:tc>
      </w:tr>
    </w:tbl>
    <w:p>
      <w:pPr>
        <w:spacing w:after="60" w:before="60"/>
      </w:pPr>
      <w:r>
        <w:rPr>
          <w:sz w:val="20"/>
          <w:szCs w:val="20"/>
        </w:rPr>
        <w:t xml:space="preserve"/>
      </w:r>
    </w:p>
    <w:p>
      <w:pPr>
        <w:pStyle w:val="Heading2"/>
        <w:spacing w:after="120" w:before="240"/>
      </w:pPr>
      <w:r>
        <w:rPr>
          <w:rFonts w:ascii="Arial" w:cs="Arial" w:eastAsia="Arial" w:hAnsi="Arial"/>
          <w:b/>
          <w:bCs/>
          <w:color w:val="2E75B6"/>
          <w:sz w:val="28"/>
          <w:szCs w:val="28"/>
        </w:rPr>
        <w:t xml:space="preserve">3.1 Endpoints concernés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826"/>
      </w:tblGrid>
      <w:tr>
        <w:trPr>
          <w:tblHeader/>
        </w:trP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Router</w:t>
            </w:r>
          </w:p>
        </w:tc>
        <w:tc>
          <w:tcPr>
            <w:tcW w:type="dxa" w:w="3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w:t>
            </w:r>
          </w:p>
        </w:tc>
        <w:tc>
          <w:tcPr>
            <w:tcW w:type="dxa" w:w="182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early_warning.py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/api/v2/early-warning/composite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SQL f-string executé avant check auth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 vérifiée en premier + SQL paramétré</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early_warning.py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/api/v2/early-warning/civilian-protection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Idem</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opendata.py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/opendata/opportunities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À confirmer par diagnostic</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Diagnostic + correction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opendata.py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/opendata/trajectories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À confirmer par diagnostic</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Diagnostic + correction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opendata.py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/opendata/pillars (potentiel)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À vérifier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Vérification systématique</w:t>
            </w:r>
          </w:p>
        </w:tc>
      </w:tr>
    </w:tbl>
    <w:p>
      <w:pPr>
        <w:spacing w:after="60" w:before="60"/>
      </w:pPr>
      <w:r>
        <w:rPr>
          <w:sz w:val="20"/>
          <w:szCs w:val="20"/>
        </w:rPr>
        <w:t xml:space="preserve"/>
      </w:r>
    </w:p>
    <w:p>
      <w:pPr>
        <w:pStyle w:val="Heading2"/>
        <w:spacing w:after="120" w:before="240"/>
      </w:pPr>
      <w:r>
        <w:rPr>
          <w:rFonts w:ascii="Arial" w:cs="Arial" w:eastAsia="Arial" w:hAnsi="Arial"/>
          <w:b/>
          <w:bCs/>
          <w:color w:val="2E75B6"/>
          <w:sz w:val="28"/>
          <w:szCs w:val="28"/>
        </w:rPr>
        <w:t xml:space="preserve">3.2 Pattern de correction</w:t>
      </w:r>
    </w:p>
    <w:p>
      <w:pPr>
        <w:spacing w:after="80" w:before="80"/>
        <w:jc w:val="both"/>
      </w:pPr>
      <w:r>
        <w:rPr>
          <w:rFonts w:ascii="Arial" w:cs="Arial" w:eastAsia="Arial" w:hAnsi="Arial"/>
          <w:b w:val="false"/>
          <w:bCs w:val="false"/>
          <w:i w:val="false"/>
          <w:iCs w:val="false"/>
          <w:color w:val="1A1A1A"/>
          <w:sz w:val="22"/>
          <w:szCs w:val="22"/>
        </w:rPr>
        <w:t xml:space="preserve">Pour chaque endpoint concerné, appliquer le pattern suivant :</w:t>
      </w:r>
    </w:p>
    <w:p>
      <w:pPr>
        <w:spacing w:after="60" w:before="60"/>
      </w:pPr>
      <w:r>
        <w:rPr>
          <w:sz w:val="20"/>
          <w:szCs w:val="20"/>
        </w:rPr>
        <w:t xml:space="preserve"/>
      </w:r>
    </w:p>
    <w:p>
      <w:pPr>
        <w:pStyle w:val="ListParagraph"/>
        <w:numPr>
          <w:ilvl w:val="0"/>
          <w:numId w:val="2"/>
        </w:numPr>
        <w:spacing w:after="40" w:before="40"/>
      </w:pPr>
      <w:r>
        <w:rPr>
          <w:rFonts w:ascii="Arial" w:cs="Arial" w:eastAsia="Arial" w:hAnsi="Arial"/>
          <w:b/>
          <w:bCs/>
          <w:color w:val="1A1A1A"/>
          <w:sz w:val="20"/>
          <w:szCs w:val="20"/>
        </w:rPr>
        <w:t xml:space="preserve">1. Déplacer le check d’authentification en tête de fonction (avant tout accès base)</w:t>
      </w:r>
    </w:p>
    <w:p>
      <w:pPr>
        <w:pStyle w:val="ListParagraph"/>
        <w:numPr>
          <w:ilvl w:val="0"/>
          <w:numId w:val="2"/>
        </w:numPr>
        <w:spacing w:after="40" w:before="40"/>
      </w:pPr>
      <w:r>
        <w:rPr>
          <w:rFonts w:ascii="Arial" w:cs="Arial" w:eastAsia="Arial" w:hAnsi="Arial"/>
          <w:b/>
          <w:bCs/>
          <w:color w:val="1A1A1A"/>
          <w:sz w:val="20"/>
          <w:szCs w:val="20"/>
        </w:rPr>
        <w:t xml:space="preserve">2. Remplacer les f-strings SQL par des paramètres bindés (:param) pour éviter les injections</w:t>
      </w:r>
    </w:p>
    <w:p>
      <w:pPr>
        <w:pStyle w:val="ListParagraph"/>
        <w:numPr>
          <w:ilvl w:val="0"/>
          <w:numId w:val="2"/>
        </w:numPr>
        <w:spacing w:after="40" w:before="40"/>
      </w:pPr>
      <w:r>
        <w:rPr>
          <w:rFonts w:ascii="Arial" w:cs="Arial" w:eastAsia="Arial" w:hAnsi="Arial"/>
          <w:b/>
          <w:bCs/>
          <w:color w:val="1A1A1A"/>
          <w:sz w:val="20"/>
          <w:szCs w:val="20"/>
        </w:rPr>
        <w:t xml:space="preserve">3. Valider que HTTP 401 est retourné sans auth, HTTP 403 avec auth insuffisante, HTTP 200 avec auth valide</w:t>
      </w:r>
    </w:p>
    <w:p>
      <w:pPr>
        <w:pStyle w:val="ListParagraph"/>
        <w:numPr>
          <w:ilvl w:val="0"/>
          <w:numId w:val="2"/>
        </w:numPr>
        <w:spacing w:after="40" w:before="40"/>
      </w:pPr>
      <w:r>
        <w:rPr>
          <w:rFonts w:ascii="Arial" w:cs="Arial" w:eastAsia="Arial" w:hAnsi="Arial"/>
          <w:b/>
          <w:bCs/>
          <w:color w:val="1A1A1A"/>
          <w:sz w:val="20"/>
          <w:szCs w:val="20"/>
        </w:rPr>
        <w:t xml:space="preserve">4. Ré-exécuter le script d’audit osa_security_audit.py option [S] pour confirmer le PASS</w:t>
      </w:r>
    </w:p>
    <w:p>
      <w:pPr>
        <w:spacing w:after="60" w:before="60"/>
      </w:pPr>
      <w:r>
        <w:rPr>
          <w:sz w:val="20"/>
          <w:szCs w:val="20"/>
        </w:rPr>
        <w:t xml:space="preserve"/>
      </w:r>
    </w:p>
    <w:p>
      <w:r>
        <w:br w:type="page"/>
      </w:r>
    </w:p>
    <w:p>
      <w:pPr>
        <w:pStyle w:val="Heading1"/>
        <w:spacing w:after="160" w:before="320"/>
      </w:pPr>
      <w:r>
        <w:rPr>
          <w:rFonts w:ascii="Arial" w:cs="Arial" w:eastAsia="Arial" w:hAnsi="Arial"/>
          <w:b/>
          <w:bCs/>
          <w:color w:val="1F4E79"/>
          <w:sz w:val="36"/>
          <w:szCs w:val="36"/>
        </w:rPr>
        <w:t xml:space="preserve">4. Chantier C — Infrastructure VPS</w:t>
      </w:r>
    </w:p>
    <w:p>
      <w:pPr>
        <w:pBdr>
          <w:bottom w:val="single" w:color="1F7A6E" w:sz="8" w:space="1"/>
        </w:pBdr>
        <w:spacing w:after="60" w:before="60"/>
      </w:pPr>
      <w:r>
        <w:rPr>
          <w:sz w:val="4"/>
          <w:szCs w:val="4"/>
        </w:rPr>
        <w:t xml:space="preserve"/>
      </w:r>
    </w:p>
    <w:p>
      <w:pPr>
        <w:spacing w:after="60" w:before="60"/>
      </w:pPr>
      <w:r>
        <w:rPr>
          <w:sz w:val="20"/>
          <w:szCs w:val="20"/>
        </w:rPr>
        <w:t xml:space="preserve"/>
      </w:r>
    </w:p>
    <w:p>
      <w:pPr>
        <w:spacing w:after="80" w:before="80"/>
        <w:jc w:val="both"/>
      </w:pPr>
      <w:r>
        <w:rPr>
          <w:rFonts w:ascii="Arial" w:cs="Arial" w:eastAsia="Arial" w:hAnsi="Arial"/>
          <w:b w:val="false"/>
          <w:bCs w:val="false"/>
          <w:i w:val="false"/>
          <w:iCs w:val="false"/>
          <w:color w:val="1A1A1A"/>
          <w:sz w:val="22"/>
          <w:szCs w:val="22"/>
        </w:rPr>
        <w:t xml:space="preserve">Quatre actions techniques sur le VPS Infomaniak pour consolider la robustesse de la plateforme avant le lancement. Toutes sont indépendantes et peuvent être exécutées en début de sprint.</w:t>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rPr>
          <w:tblHeader/>
        </w:trPr>
        <w:tc>
          <w:tcPr>
            <w:tcW w:type="dxa" w:w="3000"/>
            <w:tcBorders>
              <w:top w:val="single" w:color="CCCCCC" w:sz="1"/>
              <w:left w:val="single" w:color="CCCCCC" w:sz="1"/>
              <w:bottom w:val="single" w:color="CCCCCC" w:sz="1"/>
              <w:right w:val="single" w:color="CCCCCC" w:sz="1"/>
            </w:tcBorders>
            <w:shd w:fill="1F7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F7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Commandes concernées</w:t>
            </w:r>
          </w:p>
        </w:tc>
        <w:tc>
          <w:tcPr>
            <w:tcW w:type="dxa" w:w="1500"/>
            <w:tcBorders>
              <w:top w:val="single" w:color="CCCCCC" w:sz="1"/>
              <w:left w:val="single" w:color="CCCCCC" w:sz="1"/>
              <w:bottom w:val="single" w:color="CCCCCC" w:sz="1"/>
              <w:right w:val="single" w:color="CCCCCC" w:sz="1"/>
            </w:tcBorders>
            <w:shd w:fill="1F7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c>
          <w:tcPr>
            <w:tcW w:type="dxa" w:w="1526"/>
            <w:tcBorders>
              <w:top w:val="single" w:color="CCCCCC" w:sz="1"/>
              <w:left w:val="single" w:color="CCCCCC" w:sz="1"/>
              <w:bottom w:val="single" w:color="CCCCCC" w:sz="1"/>
              <w:right w:val="single" w:color="CCCCCC" w:sz="1"/>
            </w:tcBorders>
            <w:shd w:fill="1F7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Durée estimée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Clé SSH GitHub (Bath4856) sur le VPS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 push depuis le VPS sans token HTTPS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Bloquant</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 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Rotation logs Docker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Limite taille /dev/sda1 (20 Go OS)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Importante</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15 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UptimeRobot monitoring uptime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Alerte email si /health tombe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Importante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 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Alertes Grafana p95 / taux erreur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Seuils : p95 &gt; 500ms, erreurs &gt;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Importante</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 min</w:t>
            </w:r>
          </w:p>
        </w:tc>
      </w:tr>
    </w:tbl>
    <w:p>
      <w:pPr>
        <w:spacing w:after="60" w:before="60"/>
      </w:pPr>
      <w:r>
        <w:rPr>
          <w:sz w:val="20"/>
          <w:szCs w:val="20"/>
        </w:rPr>
        <w:t xml:space="preserve"/>
      </w:r>
    </w:p>
    <w:p>
      <w:pPr>
        <w:pStyle w:val="Heading2"/>
        <w:spacing w:after="120" w:before="240"/>
      </w:pPr>
      <w:r>
        <w:rPr>
          <w:rFonts w:ascii="Arial" w:cs="Arial" w:eastAsia="Arial" w:hAnsi="Arial"/>
          <w:b/>
          <w:bCs/>
          <w:color w:val="2E75B6"/>
          <w:sz w:val="28"/>
          <w:szCs w:val="28"/>
        </w:rPr>
        <w:t xml:space="preserve">4.1 Clé SSH GitHub</w:t>
      </w:r>
    </w:p>
    <w:p>
      <w:pPr>
        <w:spacing w:after="80" w:before="80"/>
        <w:jc w:val="both"/>
      </w:pPr>
      <w:r>
        <w:rPr>
          <w:rFonts w:ascii="Arial" w:cs="Arial" w:eastAsia="Arial" w:hAnsi="Arial"/>
          <w:b w:val="false"/>
          <w:bCs w:val="false"/>
          <w:i w:val="false"/>
          <w:iCs w:val="false"/>
          <w:color w:val="1A1A1A"/>
          <w:sz w:val="22"/>
          <w:szCs w:val="22"/>
        </w:rPr>
        <w:t xml:space="preserve">Le push depuis le VPS échoue actuellement car le compte SSH du serveur (TDBakang) n’a pas accès au repo Bath4856/osa-observatory. La solution propre est de générer une clé SSH dédiée sur le VPS et de l’ajouter aux clés deploy du repo GitHub.</w:t>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7A6E" w:sz="12"/>
              <w:left w:val="single" w:color="1F7A6E" w:sz="24"/>
              <w:bottom w:val="single" w:color="CCCCCC" w:sz="4"/>
              <w:right w:val="single" w:color="CCCCCC" w:sz="4"/>
            </w:tcBorders>
            <w:shd w:fill="E8F4F3" w:val="clear"/>
            <w:tcMar>
              <w:top w:type="dxa" w:w="120"/>
              <w:left w:type="dxa" w:w="200"/>
              <w:bottom w:type="dxa" w:w="120"/>
              <w:right w:type="dxa" w:w="120"/>
            </w:tcMar>
          </w:tcPr>
          <w:p>
            <w:r>
              <w:rPr>
                <w:rFonts w:ascii="Arial" w:cs="Arial" w:eastAsia="Arial" w:hAnsi="Arial"/>
                <w:b/>
                <w:bCs/>
                <w:color w:val="1F7A6E"/>
                <w:sz w:val="22"/>
                <w:szCs w:val="22"/>
              </w:rPr>
              <w:t xml:space="preserve">Procédure VPS</w:t>
            </w:r>
          </w:p>
          <w:p>
            <w:pPr>
              <w:spacing w:before="40"/>
            </w:pPr>
            <w:r>
              <w:rPr>
                <w:rFonts w:ascii="Arial" w:cs="Arial" w:eastAsia="Arial" w:hAnsi="Arial"/>
                <w:color w:val="1A1A1A"/>
                <w:sz w:val="20"/>
                <w:szCs w:val="20"/>
              </w:rPr>
              <w:t xml:space="preserve">ssh-keygen -t ed25519 -C 'osa-vps-deploy' -f ~/.ssh/github_osa → cat ~/.ssh/github_osa.pub → Coller dans GitHub : Settings → Deploy keys → Add deploy key (Read/Write).</w:t>
            </w:r>
          </w:p>
        </w:tc>
      </w:tr>
    </w:tbl>
    <w:p>
      <w:pPr>
        <w:spacing w:after="60" w:before="60"/>
      </w:pPr>
      <w:r>
        <w:rPr>
          <w:sz w:val="20"/>
          <w:szCs w:val="20"/>
        </w:rPr>
        <w:t xml:space="preserve"/>
      </w:r>
    </w:p>
    <w:p>
      <w:pPr>
        <w:pStyle w:val="Heading2"/>
        <w:spacing w:after="120" w:before="240"/>
      </w:pPr>
      <w:r>
        <w:rPr>
          <w:rFonts w:ascii="Arial" w:cs="Arial" w:eastAsia="Arial" w:hAnsi="Arial"/>
          <w:b/>
          <w:bCs/>
          <w:color w:val="2E75B6"/>
          <w:sz w:val="28"/>
          <w:szCs w:val="28"/>
        </w:rPr>
        <w:t xml:space="preserve">4.2 Rotation des logs Docker</w:t>
      </w:r>
    </w:p>
    <w:p>
      <w:pPr>
        <w:spacing w:after="80" w:before="80"/>
        <w:jc w:val="both"/>
      </w:pPr>
      <w:r>
        <w:rPr>
          <w:rFonts w:ascii="Arial" w:cs="Arial" w:eastAsia="Arial" w:hAnsi="Arial"/>
          <w:b w:val="false"/>
          <w:bCs w:val="false"/>
          <w:i w:val="false"/>
          <w:iCs w:val="false"/>
          <w:color w:val="1A1A1A"/>
          <w:sz w:val="22"/>
          <w:szCs w:val="22"/>
        </w:rPr>
        <w:t xml:space="preserve">Sans rotation, les logs Docker grossissent sans limite sur /dev/sda1 (20 Go OS). Configuration à ajouter dans /etc/docker/daemon.json :</w:t>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7A6E" w:sz="12"/>
              <w:left w:val="single" w:color="1F7A6E" w:sz="24"/>
              <w:bottom w:val="single" w:color="CCCCCC" w:sz="4"/>
              <w:right w:val="single" w:color="CCCCCC" w:sz="4"/>
            </w:tcBorders>
            <w:shd w:fill="E8F4F3" w:val="clear"/>
            <w:tcMar>
              <w:top w:type="dxa" w:w="120"/>
              <w:left w:type="dxa" w:w="200"/>
              <w:bottom w:type="dxa" w:w="120"/>
              <w:right w:type="dxa" w:w="120"/>
            </w:tcMar>
          </w:tcPr>
          <w:p>
            <w:r>
              <w:rPr>
                <w:rFonts w:ascii="Arial" w:cs="Arial" w:eastAsia="Arial" w:hAnsi="Arial"/>
                <w:b/>
                <w:bCs/>
                <w:color w:val="1F7A6E"/>
                <w:sz w:val="22"/>
                <w:szCs w:val="22"/>
              </w:rPr>
              <w:t xml:space="preserve">daemon.json</w:t>
            </w:r>
          </w:p>
          <w:p>
            <w:pPr>
              <w:spacing w:before="40"/>
            </w:pPr>
            <w:r>
              <w:rPr>
                <w:rFonts w:ascii="Arial" w:cs="Arial" w:eastAsia="Arial" w:hAnsi="Arial"/>
                <w:color w:val="1A1A1A"/>
                <w:sz w:val="20"/>
                <w:szCs w:val="20"/>
              </w:rPr>
              <w:t xml:space="preserve">{ "log-driver": "json-file", "log-opts": { "max-size": "10m", "max-file": "3" } } — puis : sudo systemctl restart docker</w:t>
            </w:r>
          </w:p>
        </w:tc>
      </w:tr>
    </w:tbl>
    <w:p>
      <w:pPr>
        <w:spacing w:after="60" w:before="60"/>
      </w:pPr>
      <w:r>
        <w:rPr>
          <w:sz w:val="20"/>
          <w:szCs w:val="20"/>
        </w:rPr>
        <w:t xml:space="preserve"/>
      </w:r>
    </w:p>
    <w:p>
      <w:r>
        <w:br w:type="page"/>
      </w:r>
    </w:p>
    <w:p>
      <w:pPr>
        <w:pStyle w:val="Heading1"/>
        <w:spacing w:after="160" w:before="320"/>
      </w:pPr>
      <w:r>
        <w:rPr>
          <w:rFonts w:ascii="Arial" w:cs="Arial" w:eastAsia="Arial" w:hAnsi="Arial"/>
          <w:b/>
          <w:bCs/>
          <w:color w:val="1F4E79"/>
          <w:sz w:val="36"/>
          <w:szCs w:val="36"/>
        </w:rPr>
        <w:t xml:space="preserve">5. Chantier D — Collecte données 2025</w:t>
      </w:r>
    </w:p>
    <w:p>
      <w:pPr>
        <w:pBdr>
          <w:bottom w:val="single" w:color="2E75B6" w:sz="8" w:space="1"/>
        </w:pBdr>
        <w:spacing w:after="60" w:before="60"/>
      </w:pPr>
      <w:r>
        <w:rPr>
          <w:sz w:val="4"/>
          <w:szCs w:val="4"/>
        </w:rPr>
        <w:t xml:space="preserve"/>
      </w:r>
    </w:p>
    <w:p>
      <w:pPr>
        <w:spacing w:after="60" w:before="60"/>
      </w:pPr>
      <w:r>
        <w:rPr>
          <w:sz w:val="20"/>
          <w:szCs w:val="20"/>
        </w:rPr>
        <w:t xml:space="preserve"/>
      </w:r>
    </w:p>
    <w:p>
      <w:pPr>
        <w:spacing w:after="80" w:before="80"/>
        <w:jc w:val="both"/>
      </w:pPr>
      <w:r>
        <w:rPr>
          <w:rFonts w:ascii="Arial" w:cs="Arial" w:eastAsia="Arial" w:hAnsi="Arial"/>
          <w:b w:val="false"/>
          <w:bCs w:val="false"/>
          <w:i w:val="false"/>
          <w:iCs w:val="false"/>
          <w:color w:val="1A1A1A"/>
          <w:sz w:val="22"/>
          <w:szCs w:val="22"/>
        </w:rPr>
        <w:t xml:space="preserve">C’est le chantier stratégique du Sprint 19. L’intégration des données 2025 permet de publier un ISA 2025 avant le lancement de septembre, ce qui donne à l’Observatoire une crédibilité immédiate auprès des partenaires institutionnels. La fenêtre est courte : les données de la plupart des fournisseurs sont disponibles entre mai et juillet 2026.</w:t>
      </w:r>
    </w:p>
    <w:p>
      <w:pPr>
        <w:spacing w:after="60" w:before="60"/>
      </w:pPr>
      <w:r>
        <w:rPr>
          <w:sz w:val="20"/>
          <w:szCs w:val="20"/>
        </w:rPr>
        <w:t xml:space="preserve"/>
      </w:r>
    </w:p>
    <w:p>
      <w:pPr>
        <w:pStyle w:val="Heading2"/>
        <w:spacing w:after="120" w:before="240"/>
      </w:pPr>
      <w:r>
        <w:rPr>
          <w:rFonts w:ascii="Arial" w:cs="Arial" w:eastAsia="Arial" w:hAnsi="Arial"/>
          <w:b/>
          <w:bCs/>
          <w:color w:val="2E75B6"/>
          <w:sz w:val="28"/>
          <w:szCs w:val="28"/>
        </w:rPr>
        <w:t xml:space="preserve">5.1 Sources et calendrier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2000"/>
        <w:gridCol w:w="16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Données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Disponibilité 2025</w:t>
            </w:r>
          </w:p>
        </w:tc>
        <w:tc>
          <w:tcPr>
            <w:tcW w:type="dxa" w:w="1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World Bank WDI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Économie, gouvernance, santé, éducation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CSV/API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Avril 2026 ✔</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IMF WEO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Macrofinancier, dette, balance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CSV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Avril 2026 ✔</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Critique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Sécurité alimentaire, agriculture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CSV/API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Mai 2026 ✔</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WHO GHO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Santé (mortalité, couverture)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Juin 2026</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Haute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SIPRI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Dépenses militaires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XLSX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Avril 2026 ✔</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Haute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ACLED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Conflits armés (log1+x)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CSV/API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Mensuel ✔</w:t>
            </w:r>
          </w:p>
        </w:tc>
        <w:tc>
          <w:tcPr>
            <w:tcW w:type="dxa" w:w="1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Haute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WGI WorldBank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Gouvernance institutionnelle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CSV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Juin 2026</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Haute</w:t>
            </w:r>
          </w:p>
        </w:tc>
      </w:tr>
    </w:tbl>
    <w:p>
      <w:pPr>
        <w:spacing w:after="60" w:before="60"/>
      </w:pPr>
      <w:r>
        <w:rPr>
          <w:sz w:val="20"/>
          <w:szCs w:val="20"/>
        </w:rPr>
        <w:t xml:space="preserve"/>
      </w:r>
    </w:p>
    <w:p>
      <w:pPr>
        <w:pStyle w:val="Heading2"/>
        <w:spacing w:after="120" w:before="240"/>
      </w:pPr>
      <w:r>
        <w:rPr>
          <w:rFonts w:ascii="Arial" w:cs="Arial" w:eastAsia="Arial" w:hAnsi="Arial"/>
          <w:b/>
          <w:bCs/>
          <w:color w:val="2E75B6"/>
          <w:sz w:val="28"/>
          <w:szCs w:val="28"/>
        </w:rPr>
        <w:t xml:space="preserve">5.2 Pipeline d’intégration</w:t>
      </w:r>
    </w:p>
    <w:p>
      <w:pPr>
        <w:spacing w:after="80" w:before="80"/>
        <w:jc w:val="both"/>
      </w:pPr>
      <w:r>
        <w:rPr>
          <w:rFonts w:ascii="Arial" w:cs="Arial" w:eastAsia="Arial" w:hAnsi="Arial"/>
          <w:b w:val="false"/>
          <w:bCs w:val="false"/>
          <w:i w:val="false"/>
          <w:iCs w:val="false"/>
          <w:color w:val="1A1A1A"/>
          <w:sz w:val="22"/>
          <w:szCs w:val="22"/>
        </w:rPr>
        <w:t xml:space="preserve">Le pipeline existant (L1 → L2 → L3 → analytique) est éprouvé. L’intégration 2025 suit exactement le même processus que les millésimes précédents.</w:t>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026"/>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Opération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 cible</w:t>
            </w:r>
          </w:p>
        </w:tc>
        <w:tc>
          <w:tcPr>
            <w:tcW w:type="dxa" w:w="2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Politique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Ingestion brute des fichiers CSV/API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collect.raw_data_*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 CONFLICT DO NOTHING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Imputation et consolidation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imputed.*</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Remplacement si année 2025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Normalisation 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normalized.*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Recalcul complet année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Analytique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Recalcul ISA 2025 (scores piliers + ISA)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Recalcul différentiel 2025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Refresh vues matérialisées pub.*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pub.mv_*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REFRESH MATERIALIZED VIEW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Vérification 54 pays × 10 piliers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Rapport diagnostic</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Seuil : &gt; 80% couverture</w:t>
            </w:r>
          </w:p>
        </w:tc>
      </w:tr>
    </w:tbl>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CCCCCC" w:sz="4"/>
              <w:right w:val="single" w:color="CCCCCC" w:sz="4"/>
            </w:tcBorders>
            <w:shd w:fill="D9E2F3" w:val="clear"/>
            <w:tcMar>
              <w:top w:type="dxa" w:w="120"/>
              <w:left w:type="dxa" w:w="200"/>
              <w:bottom w:type="dxa" w:w="120"/>
              <w:right w:type="dxa" w:w="120"/>
            </w:tcMar>
          </w:tcPr>
          <w:p>
            <w:r>
              <w:rPr>
                <w:rFonts w:ascii="Arial" w:cs="Arial" w:eastAsia="Arial" w:hAnsi="Arial"/>
                <w:b/>
                <w:bCs/>
                <w:color w:val="2E75B6"/>
                <w:sz w:val="22"/>
                <w:szCs w:val="22"/>
              </w:rPr>
              <w:t xml:space="preserve">[DECISION] Politique d’intégration données 2025</w:t>
            </w:r>
          </w:p>
          <w:p>
            <w:pPr>
              <w:spacing w:before="40"/>
            </w:pPr>
            <w:r>
              <w:rPr>
                <w:rFonts w:ascii="Arial" w:cs="Arial" w:eastAsia="Arial" w:hAnsi="Arial"/>
                <w:color w:val="1A1A1A"/>
                <w:sz w:val="20"/>
                <w:szCs w:val="20"/>
              </w:rPr>
              <w:t xml:space="preserve">ON CONFLICT DO NOTHING sur L1 (politique OSA standard). Recalcul différentiel sur L2/L3 : seule l’année 2025 est recalculée, les millésimes 2010–2024 restent inchangés. Tout dataset dont l’origine ne peut être vérifiée est refusé (principe EITI maintenu).</w:t>
            </w:r>
          </w:p>
        </w:tc>
      </w:tr>
    </w:tbl>
    <w:p>
      <w:pPr>
        <w:spacing w:after="60" w:before="60"/>
      </w:pPr>
      <w:r>
        <w:rPr>
          <w:sz w:val="20"/>
          <w:szCs w:val="20"/>
        </w:rPr>
        <w:t xml:space="preserve"/>
      </w:r>
    </w:p>
    <w:p>
      <w:pPr>
        <w:pStyle w:val="Heading2"/>
        <w:spacing w:after="120" w:before="240"/>
      </w:pPr>
      <w:r>
        <w:rPr>
          <w:rFonts w:ascii="Arial" w:cs="Arial" w:eastAsia="Arial" w:hAnsi="Arial"/>
          <w:b/>
          <w:bCs/>
          <w:color w:val="2E75B6"/>
          <w:sz w:val="28"/>
          <w:szCs w:val="28"/>
        </w:rPr>
        <w:t xml:space="preserve">5.3 Règles spécifiques</w:t>
      </w:r>
    </w:p>
    <w:p>
      <w:pPr>
        <w:pStyle w:val="ListParagraph"/>
        <w:numPr>
          <w:ilvl w:val="0"/>
          <w:numId w:val="2"/>
        </w:numPr>
        <w:spacing w:after="40" w:before="40"/>
      </w:pPr>
      <w:r>
        <w:rPr>
          <w:rFonts w:ascii="Arial" w:cs="Arial" w:eastAsia="Arial" w:hAnsi="Arial"/>
          <w:b/>
          <w:bCs/>
          <w:color w:val="1A1A1A"/>
          <w:sz w:val="20"/>
          <w:szCs w:val="20"/>
        </w:rPr>
        <w:t xml:space="preserve">ACLED : transformation log(1+x) appliquée avant stockage L1 (conf. politique Sprint 14)</w:t>
      </w:r>
    </w:p>
    <w:p>
      <w:pPr>
        <w:pStyle w:val="ListParagraph"/>
        <w:numPr>
          <w:ilvl w:val="0"/>
          <w:numId w:val="2"/>
        </w:numPr>
        <w:spacing w:after="40" w:before="40"/>
      </w:pPr>
      <w:r>
        <w:rPr>
          <w:rFonts w:ascii="Arial" w:cs="Arial" w:eastAsia="Arial" w:hAnsi="Arial"/>
          <w:b/>
          <w:bCs/>
          <w:color w:val="1A1A1A"/>
          <w:sz w:val="20"/>
          <w:szCs w:val="20"/>
        </w:rPr>
        <w:t xml:space="preserve">CFA : traitement différencié UEMOA/BEAC (rf.monetary_zone_history, MON_SOV_FACTOR −0,60)</w:t>
      </w:r>
    </w:p>
    <w:p>
      <w:pPr>
        <w:pStyle w:val="ListParagraph"/>
        <w:numPr>
          <w:ilvl w:val="0"/>
          <w:numId w:val="2"/>
        </w:numPr>
        <w:spacing w:after="40" w:before="40"/>
      </w:pPr>
      <w:r>
        <w:rPr>
          <w:rFonts w:ascii="Arial" w:cs="Arial" w:eastAsia="Arial" w:hAnsi="Arial"/>
          <w:b/>
          <w:bCs/>
          <w:color w:val="1A1A1A"/>
          <w:sz w:val="20"/>
          <w:szCs w:val="20"/>
        </w:rPr>
        <w:t xml:space="preserve">EITI : données non intégrées — origin non vérifiable (décision maintenue)</w:t>
      </w:r>
    </w:p>
    <w:p>
      <w:pPr>
        <w:pStyle w:val="ListParagraph"/>
        <w:numPr>
          <w:ilvl w:val="0"/>
          <w:numId w:val="2"/>
        </w:numPr>
        <w:spacing w:after="40" w:before="40"/>
      </w:pPr>
      <w:r>
        <w:rPr>
          <w:rFonts w:ascii="Arial" w:cs="Arial" w:eastAsia="Arial" w:hAnsi="Arial"/>
          <w:b/>
          <w:bCs/>
          <w:color w:val="1A1A1A"/>
          <w:sz w:val="20"/>
          <w:szCs w:val="20"/>
        </w:rPr>
        <w:t xml:space="preserve">GTI : non intégré — licence payante. UCDP utilisé comme alternative libre</w:t>
      </w:r>
    </w:p>
    <w:p>
      <w:pPr>
        <w:pStyle w:val="ListParagraph"/>
        <w:numPr>
          <w:ilvl w:val="0"/>
          <w:numId w:val="2"/>
        </w:numPr>
        <w:spacing w:after="40" w:before="40"/>
      </w:pPr>
      <w:r>
        <w:rPr>
          <w:rFonts w:ascii="Arial" w:cs="Arial" w:eastAsia="Arial" w:hAnsi="Arial"/>
          <w:b/>
          <w:bCs/>
          <w:color w:val="1A1A1A"/>
          <w:sz w:val="20"/>
          <w:szCs w:val="20"/>
        </w:rPr>
        <w:t xml:space="preserve">Indicateurs sans source dans collect.indicator_source (≈24% actifs) : à compléter en parallèle</w:t>
      </w:r>
    </w:p>
    <w:p>
      <w:pPr>
        <w:spacing w:after="60" w:before="60"/>
      </w:pPr>
      <w:r>
        <w:rPr>
          <w:sz w:val="20"/>
          <w:szCs w:val="20"/>
        </w:rPr>
        <w:t xml:space="preserve"/>
      </w:r>
    </w:p>
    <w:p>
      <w:r>
        <w:br w:type="page"/>
      </w:r>
    </w:p>
    <w:p>
      <w:pPr>
        <w:pStyle w:val="Heading1"/>
        <w:spacing w:after="160" w:before="320"/>
      </w:pPr>
      <w:r>
        <w:rPr>
          <w:rFonts w:ascii="Arial" w:cs="Arial" w:eastAsia="Arial" w:hAnsi="Arial"/>
          <w:b/>
          <w:bCs/>
          <w:color w:val="1F4E79"/>
          <w:sz w:val="36"/>
          <w:szCs w:val="36"/>
        </w:rPr>
        <w:t xml:space="preserve">6. Feuille de route OSA 2026</w:t>
      </w:r>
    </w:p>
    <w:p>
      <w:pPr>
        <w:pBdr>
          <w:bottom w:val="single" w:color="2E75B6" w:sz="8" w:space="1"/>
        </w:pBdr>
        <w:spacing w:after="60" w:before="60"/>
      </w:pPr>
      <w:r>
        <w:rPr>
          <w:sz w:val="4"/>
          <w:szCs w:val="4"/>
        </w:rPr>
        <w:t xml:space="preserve"/>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800"/>
        <w:gridCol w:w="1226"/>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Période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c>
          <w:tcPr>
            <w:tcW w:type="dxa" w:w="1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Avr–Mai 2026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 JWT + 2FA + SMTP + Prometheus + HTTPS + Audit 59/59</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CLOS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Mai–Juin 2026</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VPS Infomaniak + Docker + HTTPS + Doctrine pub.* + Swiss Backup</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CLOS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Juin–Août 2026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Corrections A+B+C + Collecte données 2025 + ISA 2025</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EN COURS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Août 2026</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Préparation lancement — runbook, tests de charge, portail public</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À venir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Sep. 2026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Lancement rodage — accès institutionnel pilotes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À venir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2027</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Tokenisation fine + gouvernance commerciale (18A/18B)</w:t>
            </w:r>
          </w:p>
        </w:tc>
        <w:tc>
          <w:tcPr>
            <w:tcW w:type="dxa" w:w="1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Post-lancement</w:t>
            </w:r>
          </w:p>
        </w:tc>
      </w:tr>
    </w:tbl>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6000" w:sz="12"/>
              <w:left w:val="single" w:color="7B6000" w:sz="24"/>
              <w:bottom w:val="single" w:color="CCCCCC" w:sz="4"/>
              <w:right w:val="single" w:color="CCCCCC" w:sz="4"/>
            </w:tcBorders>
            <w:shd w:fill="FFF3CD" w:val="clear"/>
            <w:tcMar>
              <w:top w:type="dxa" w:w="120"/>
              <w:left w:type="dxa" w:w="200"/>
              <w:bottom w:type="dxa" w:w="120"/>
              <w:right w:type="dxa" w:w="120"/>
            </w:tcMar>
          </w:tcPr>
          <w:p>
            <w:r>
              <w:rPr>
                <w:rFonts w:ascii="Arial" w:cs="Arial" w:eastAsia="Arial" w:hAnsi="Arial"/>
                <w:b/>
                <w:bCs/>
                <w:color w:val="7B6000"/>
                <w:sz w:val="22"/>
                <w:szCs w:val="22"/>
              </w:rPr>
              <w:t xml:space="preserve">Tokenisation et gouvernance commerciale (18A/18B)</w:t>
            </w:r>
          </w:p>
          <w:p>
            <w:pPr>
              <w:spacing w:before="40"/>
            </w:pPr>
            <w:r>
              <w:rPr>
                <w:rFonts w:ascii="Arial" w:cs="Arial" w:eastAsia="Arial" w:hAnsi="Arial"/>
                <w:color w:val="1A1A1A"/>
                <w:sz w:val="20"/>
                <w:szCs w:val="20"/>
              </w:rPr>
              <w:t xml:space="preserve">Délibérément reportées post-lancement 2026. Le lancement septembre 2026 est un lancement d’appel et de maturation institutionnelle. La grille tarifaire fine (pay-per-resource, S1/S2) sera calibrée sur les retours réels des premiers partenaires. Une tarification sans usage réel est une tarification arbitraire.</w:t>
            </w:r>
          </w:p>
        </w:tc>
      </w:tr>
    </w:tbl>
    <w:p>
      <w:pPr>
        <w:spacing w:after="60" w:before="60"/>
      </w:pPr>
      <w:r>
        <w:rPr>
          <w:sz w:val="20"/>
          <w:szCs w:val="20"/>
        </w:rPr>
        <w:t xml:space="preserve"/>
      </w:r>
    </w:p>
    <w:p>
      <w:r>
        <w:br w:type="page"/>
      </w:r>
    </w:p>
    <w:p>
      <w:pPr>
        <w:pStyle w:val="Heading1"/>
        <w:spacing w:after="160" w:before="320"/>
      </w:pPr>
      <w:r>
        <w:rPr>
          <w:rFonts w:ascii="Arial" w:cs="Arial" w:eastAsia="Arial" w:hAnsi="Arial"/>
          <w:b/>
          <w:bCs/>
          <w:color w:val="1F4E79"/>
          <w:sz w:val="36"/>
          <w:szCs w:val="36"/>
        </w:rPr>
        <w:t xml:space="preserve">7. Ordre d’exécution recommandé</w:t>
      </w:r>
    </w:p>
    <w:p>
      <w:pPr>
        <w:pBdr>
          <w:bottom w:val="single" w:color="2E75B6" w:sz="8" w:space="1"/>
        </w:pBdr>
        <w:spacing w:after="60" w:before="60"/>
      </w:pPr>
      <w:r>
        <w:rPr>
          <w:sz w:val="4"/>
          <w:szCs w:val="4"/>
        </w:rPr>
        <w:t xml:space="preserve"/>
      </w:r>
    </w:p>
    <w:p>
      <w:pPr>
        <w:spacing w:after="60" w:before="60"/>
      </w:pPr>
      <w:r>
        <w:rPr>
          <w:sz w:val="20"/>
          <w:szCs w:val="20"/>
        </w:rPr>
        <w:t xml:space="preserve"/>
      </w:r>
    </w:p>
    <w:p>
      <w:pPr>
        <w:spacing w:after="80" w:before="80"/>
        <w:jc w:val="both"/>
      </w:pPr>
      <w:r>
        <w:rPr>
          <w:rFonts w:ascii="Arial" w:cs="Arial" w:eastAsia="Arial" w:hAnsi="Arial"/>
          <w:b w:val="false"/>
          <w:bCs w:val="false"/>
          <w:i w:val="false"/>
          <w:iCs w:val="false"/>
          <w:color w:val="1A1A1A"/>
          <w:sz w:val="22"/>
          <w:szCs w:val="22"/>
        </w:rPr>
        <w:t xml:space="preserve">Les chantiers A, B et C sont rapides (1 à 2 jours au total) et indépendants du chantier D. Ils doivent être exécutés en premier pour que la production soit doctrinalement et techniquement propre avant la collecte.</w:t>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400"/>
        <w:gridCol w:w="24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Semaine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Chantier</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Clé SSH GitHub + rotation logs + UptimeRobot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VPS consolidé</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S1</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Corrections rankings.py + opendata.py (A)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Commit feat(sprint19): doctrine API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S1–S2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Diagnostic + correction 500 pre-auth early_warning + opendata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Commit fix(sprint19): 500 pre-auth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Validation audit [S] : 59/59 PASS confirmé</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Rapport audit sprint19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S2–S4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Alertes Grafana configurées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Dashboard opérationnel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S3–S6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Collecte données 2025 (WB, IMF, FAO, SIPRI, ACLED, WHO, WGI)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L1 chargé</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S6–S8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Pipeline L2/L3 + recalcul ISA 2025 + refresh pub.*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ISA 2025 publié</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Rapport final Sprint 19 + cadrage Sprint 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Docs</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DOCX livré</w:t>
            </w:r>
          </w:p>
        </w:tc>
      </w:tr>
    </w:tbl>
    <w:p>
      <w:pPr>
        <w:spacing w:after="60" w:before="60"/>
      </w:pPr>
      <w:r>
        <w:rPr>
          <w:sz w:val="20"/>
          <w:szCs w:val="20"/>
        </w:rPr>
        <w:t xml:space="preserve"/>
      </w:r>
    </w:p>
    <w:p>
      <w:pPr>
        <w:spacing w:after="60" w:before="60"/>
      </w:pPr>
      <w:r>
        <w:rPr>
          <w:sz w:val="20"/>
          <w:szCs w:val="20"/>
        </w:rPr>
        <w:t xml:space="preserve"/>
      </w:r>
    </w:p>
    <w:p>
      <w:pPr>
        <w:pStyle w:val="Heading1"/>
        <w:spacing w:after="160" w:before="320"/>
      </w:pPr>
      <w:r>
        <w:rPr>
          <w:rFonts w:ascii="Arial" w:cs="Arial" w:eastAsia="Arial" w:hAnsi="Arial"/>
          <w:b/>
          <w:bCs/>
          <w:color w:val="1F4E79"/>
          <w:sz w:val="36"/>
          <w:szCs w:val="36"/>
        </w:rPr>
        <w:t xml:space="preserve">8. Décisions doctrinales Sprint 19</w:t>
      </w:r>
    </w:p>
    <w:p>
      <w:pPr>
        <w:pBdr>
          <w:bottom w:val="single" w:color="C55A11" w:sz="8" w:space="1"/>
        </w:pBdr>
        <w:spacing w:after="60" w:before="60"/>
      </w:pPr>
      <w:r>
        <w:rPr>
          <w:sz w:val="4"/>
          <w:szCs w:val="4"/>
        </w:rPr>
        <w:t xml:space="preserve"/>
      </w:r>
    </w:p>
    <w:p>
      <w:pPr>
        <w:spacing w:after="60" w:before="6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Décision</w:t>
            </w:r>
          </w:p>
        </w:tc>
        <w:tc>
          <w:tcPr>
            <w:tcW w:type="dxa" w:w="6026"/>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Endpoint /rankings déprécié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Redirection 301 /api/v2/rankings → /api/v2/scores. Suppression au Sprint 21.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Licence CC-BY-NC-4.0</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Toute la couche pub.* (vues + API) publiée sous CC-BY-NC-4.0. Usage commercial tiers interdit.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 avant métier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Aucun endpoint OSA n’exécute de logique métier avant vérification de l’authentification.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Données 2025 différentiel</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Recalcul uniquement sur l’année 2025. Millésimes 2010–2024 figés (immuabilité de l’historique).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EITI refusé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Aucune donnée EITI intégrée. Origine non vérifiable — principe scientifique maintenu.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Tokenisation reportée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18A/18B post-lancement 2026. Calibrage sur retours réels des partenaires pilotes.</w:t>
            </w:r>
          </w:p>
        </w:tc>
      </w:tr>
    </w:tbl>
    <w:p>
      <w:pPr>
        <w:spacing w:after="60" w:before="60"/>
      </w:pPr>
      <w:r>
        <w:rPr>
          <w:sz w:val="20"/>
          <w:szCs w:val="20"/>
        </w:rPr>
        <w:t xml:space="preserve"/>
      </w:r>
    </w:p>
    <w:p>
      <w:pPr>
        <w:spacing w:after="60" w:before="60"/>
      </w:pPr>
      <w:r>
        <w:rPr>
          <w:sz w:val="20"/>
          <w:szCs w:val="20"/>
        </w:rPr>
        <w:t xml:space="preserve"/>
      </w:r>
    </w:p>
    <w:p>
      <w:pPr>
        <w:spacing w:after="200" w:before="200"/>
        <w:jc w:val="center"/>
      </w:pPr>
      <w:r>
        <w:rPr>
          <w:rFonts w:ascii="Arial" w:cs="Arial" w:eastAsia="Arial" w:hAnsi="Arial"/>
          <w:i/>
          <w:iCs/>
          <w:color w:val="888888"/>
          <w:sz w:val="20"/>
          <w:szCs w:val="20"/>
        </w:rPr>
        <w:t xml:space="preserve">OSA Observatory — Observatoire de la Souveraineté Africaine</w:t>
      </w:r>
    </w:p>
    <w:p>
      <w:pPr>
        <w:jc w:val="center"/>
      </w:pPr>
      <w:r>
        <w:rPr>
          <w:rFonts w:ascii="Arial" w:cs="Arial" w:eastAsia="Arial" w:hAnsi="Arial"/>
          <w:color w:val="AAAAAA"/>
          <w:sz w:val="18"/>
          <w:szCs w:val="18"/>
        </w:rPr>
        <w:t xml:space="preserve">open.osa-observatory.org — CC-BY-NC-4.0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8" w:space="1"/>
      </w:pBdr>
      <w:spacing w:after="60" w:before="60"/>
    </w:pPr>
    <w:r>
      <w:rPr>
        <w:sz w:val="4"/>
        <w:szCs w:val="4"/>
      </w:rPr>
      <w:t xml:space="preserve"/>
    </w:r>
  </w:p>
  <w:p>
    <w:pPr>
      <w:tabs>
        <w:tab w:val="right" w:pos="9026"/>
      </w:tabs>
    </w:pPr>
    <w:r>
      <w:rPr>
        <w:rFonts w:ascii="Arial" w:cs="Arial" w:eastAsia="Arial" w:hAnsi="Arial"/>
        <w:color w:val="888888"/>
        <w:sz w:val="16"/>
        <w:szCs w:val="16"/>
      </w:rPr>
      <w:t xml:space="preserve">OSA Observatory — Cadrage Sprint 19 — Confidentiel</w:t>
    </w:r>
    <w:r>
      <w:rPr>
        <w:rFonts w:ascii="Arial" w:cs="Arial" w:eastAsia="Arial" w:hAnsi="Arial"/>
        <w:color w:val="888888"/>
        <w:sz w:val="16"/>
        <w:szCs w:val="16"/>
      </w:rPr>
      <w:t xml:space="preserve">	29 mai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1F4E79"/>
              <w:sz w:val="18"/>
              <w:szCs w:val="18"/>
            </w:rPr>
            <w:t xml:space="preserve">OSA Observatory — Document de cadrage Sprint 19</w:t>
          </w:r>
        </w:p>
      </w:tc>
      <w:tc>
        <w:tcPr>
          <w:tcW w:type="dxa" w:w="3026"/>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Juin–Août 2026</w:t>
          </w:r>
        </w:p>
      </w:tc>
    </w:tr>
  </w:tbl>
  <w:p>
    <w:pPr>
      <w:pBdr>
        <w:bottom w:val="single" w:color="2E75B6" w:sz="8" w:space="1"/>
      </w:pBdr>
      <w:spacing w:after="60" w:before="6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2026-05-29T21:12:39.063Z</dcterms:created>
  <dcterms:modified xsi:type="dcterms:W3CDTF">2026-05-29T21:12:39.078Z</dcterms:modified>
</cp:coreProperties>
</file>

<file path=docProps/custom.xml><?xml version="1.0" encoding="utf-8"?>
<Properties xmlns="http://schemas.openxmlformats.org/officeDocument/2006/custom-properties" xmlns:vt="http://schemas.openxmlformats.org/officeDocument/2006/docPropsVTypes"/>
</file>