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OSA Observatory -- Rapport Healthcheck</w:t>
      </w:r>
    </w:p>
    <w:p>
      <w:r>
        <w:t>Date : 2026-05-24T17:10:23   |   Statut global : ATTENTION</w:t>
      </w:r>
    </w:p>
    <w:p/>
    <w:p>
      <w:pPr>
        <w:pStyle w:val="Heading1"/>
      </w:pPr>
      <w:r>
        <w:rPr>
          <w:color w:val="FF9900"/>
        </w:rPr>
        <w:t>Avertissements (1)</w:t>
      </w:r>
    </w:p>
    <w:p>
      <w:r>
        <w:rPr>
          <w:b/>
        </w:rPr>
        <w:t xml:space="preserve">[AMAR_BREAK] </w:t>
      </w:r>
      <w:r>
        <w:t>Rupture AMAR YELLOW en 2020 : 1 -&gt; 54 pays (delta=53)</w:t>
      </w:r>
    </w:p>
    <w:p>
      <w:r>
        <w:rPr>
          <w:i/>
        </w:rPr>
        <w:t xml:space="preserve">  Action recommandee : Verifier recalibration seuils AMAR - possible artefact post-desactivation indicateurs</w:t>
      </w:r>
    </w:p>
    <w:p>
      <w:pPr>
        <w:pStyle w:val="Heading1"/>
      </w:pPr>
      <w:r>
        <w:rPr>
          <w:color w:val="375623"/>
        </w:rPr>
        <w:t>Checks OK (5)</w:t>
      </w:r>
    </w:p>
    <w:p>
      <w:r>
        <w:t xml:space="preserve">  Toutes les vues critiques sont presentes</w:t>
      </w:r>
    </w:p>
    <w:p>
      <w:r>
        <w:t xml:space="preserve">  Conformite doctrinale 100% - zero indicateur de perception en production</w:t>
      </w:r>
    </w:p>
    <w:p>
      <w:r>
        <w:t xml:space="preserve">  Tous les indicateurs actifs ont des donnees L3</w:t>
      </w:r>
    </w:p>
    <w:p>
      <w:r>
        <w:t xml:space="preserve">  Zero doublon en L1</w:t>
      </w:r>
    </w:p>
    <w:p>
      <w:r>
        <w:t xml:space="preserve">  Toutes les lignes L1 ont un source_id trace</w:t>
      </w:r>
    </w:p>
    <w:p>
      <w:pPr>
        <w:pStyle w:val="Heading1"/>
      </w:pPr>
      <w:r>
        <w:t>Distribution AMAR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Niveau</w:t>
            </w:r>
          </w:p>
        </w:tc>
        <w:tc>
          <w:tcPr>
            <w:tcW w:type="dxa" w:w="2880"/>
          </w:tcPr>
          <w:p>
            <w:r>
              <w:t>Nb pays</w:t>
            </w:r>
          </w:p>
        </w:tc>
        <w:tc>
          <w:tcPr>
            <w:tcW w:type="dxa" w:w="2880"/>
          </w:tcPr>
          <w:p>
            <w:r>
              <w:t>Score moyen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0.458</w:t>
            </w:r>
          </w:p>
        </w:tc>
      </w:tr>
      <w:tr>
        <w:tc>
          <w:tcPr>
            <w:tcW w:type="dxa" w:w="2880"/>
          </w:tcPr>
          <w:p>
            <w:r>
              <w:t>YELLOW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0.409</w:t>
            </w:r>
          </w:p>
        </w:tc>
      </w:tr>
    </w:tbl>
    <w:p>
      <w:pPr>
        <w:pStyle w:val="Heading1"/>
      </w:pPr>
      <w:r>
        <w:t>Scores ISA observes 2020-2024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Annee</w:t>
            </w:r>
          </w:p>
        </w:tc>
        <w:tc>
          <w:tcPr>
            <w:tcW w:type="dxa" w:w="2880"/>
          </w:tcPr>
          <w:p>
            <w:r>
              <w:t>Score moyen ISA</w:t>
            </w:r>
          </w:p>
        </w:tc>
        <w:tc>
          <w:tcPr>
            <w:tcW w:type="dxa" w:w="2880"/>
          </w:tcPr>
          <w:p>
            <w:r>
              <w:t>Nb pays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0.14009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0.14620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0.13557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0.12780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0.11480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