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E3A5F"/>
          <w:sz w:val="28"/>
          <w:szCs w:val="28"/>
        </w:rPr>
        <w:t xml:space="preserve">OBSERVATOIRE DE LA SOUVERAINETÉ AFRICAINE</w:t>
      </w:r>
    </w:p>
    <w:p>
      <w:pPr>
        <w:spacing w:after="80" w:before="0"/>
      </w:pPr>
      <w:r>
        <w:rPr>
          <w:rFonts w:ascii="Arial" w:cs="Arial" w:eastAsia="Arial" w:hAnsi="Arial"/>
          <w:color w:val="555555"/>
          <w:sz w:val="22"/>
          <w:szCs w:val="22"/>
        </w:rPr>
        <w:t xml:space="preserve">Indice de Souveraineté Africaine (ISA) — 54 pays — 2010-2024</w:t>
      </w:r>
    </w:p>
    <w:p>
      <w:pPr>
        <w:pBdr>
          <w:bottom w:val="single" w:color="1E3A5F" w:sz="4" w:space="1"/>
        </w:pBdr>
        <w:spacing w:after="160" w:before="160"/>
      </w:pPr>
    </w:p>
    <w:p>
      <w:pPr>
        <w:spacing w:after="80" w:before="160"/>
      </w:pPr>
      <w:r>
        <w:rPr>
          <w:rFonts w:ascii="Arial" w:cs="Arial" w:eastAsia="Arial" w:hAnsi="Arial"/>
          <w:b/>
          <w:bCs/>
          <w:color w:val="1E3A5F"/>
          <w:sz w:val="38"/>
          <w:szCs w:val="38"/>
        </w:rPr>
        <w:t xml:space="preserve">Rapport final de gouvernance mapping</w:t>
      </w:r>
    </w:p>
    <w:p>
      <w:pPr>
        <w:spacing w:after="80" w:before="0"/>
      </w:pPr>
      <w:r>
        <w:rPr>
          <w:rFonts w:ascii="Arial" w:cs="Arial" w:eastAsia="Arial" w:hAnsi="Arial"/>
          <w:color w:val="0F6E56"/>
          <w:sz w:val="26"/>
          <w:szCs w:val="26"/>
        </w:rPr>
        <w:t xml:space="preserve">Sprint 4 — Résolution complète des orphelins — Vagues P1 à P5</w:t>
      </w:r>
    </w:p>
    <w:p>
      <w:pPr>
        <w:spacing w:after="80" w:before="80"/>
      </w:pPr>
      <w:r>
        <w:rPr>
          <w:rFonts w:ascii="Arial" w:cs="Arial" w:eastAsia="Arial" w:hAnsi="Arial"/>
          <w:i/>
          <w:iCs/>
          <w:color w:val="555555"/>
          <w:sz w:val="22"/>
          <w:szCs w:val="22"/>
        </w:rPr>
        <w:t xml:space="preserve">De 64 indicateurs orphelins sans mapping à zéro orphelin en une session.</w:t>
      </w:r>
    </w:p>
    <w:p>
      <w:pPr>
        <w:spacing w:after="480" w:before="80"/>
      </w:pPr>
      <w:r>
        <w:rPr>
          <w:rFonts w:ascii="Arial" w:cs="Arial" w:eastAsia="Arial" w:hAnsi="Arial"/>
          <w:color w:val="555555"/>
          <w:sz w:val="20"/>
          <w:szCs w:val="20"/>
        </w:rPr>
        <w:t xml:space="preserve">Date : 09 mai 2026     |     Version : 3.0 (finale)     |     Sprint 4</w:t>
      </w:r>
    </w:p>
    <w:p>
      <w:pPr>
        <w:pStyle w:val="Heading1"/>
        <w:spacing w:after="120" w:before="360"/>
      </w:pPr>
      <w:r>
        <w:rPr>
          <w:rFonts w:ascii="Arial" w:cs="Arial" w:eastAsia="Arial" w:hAnsi="Arial"/>
          <w:b/>
          <w:bCs/>
          <w:color w:val="1E3A5F"/>
          <w:sz w:val="32"/>
          <w:szCs w:val="32"/>
        </w:rPr>
        <w:t xml:space="preserve">1. Introduction et contexte</w:t>
      </w:r>
    </w:p>
    <w:p>
      <w:pPr>
        <w:pStyle w:val="Heading2"/>
        <w:spacing w:after="80" w:before="280"/>
      </w:pPr>
      <w:r>
        <w:rPr>
          <w:rFonts w:ascii="Arial" w:cs="Arial" w:eastAsia="Arial" w:hAnsi="Arial"/>
          <w:b/>
          <w:bCs/>
          <w:color w:val="1E3A5F"/>
          <w:sz w:val="26"/>
          <w:szCs w:val="26"/>
        </w:rPr>
        <w:t xml:space="preserve">1.1 Qu'est-ce que le mapping dans le système OSA ?</w:t>
      </w:r>
    </w:p>
    <w:p>
      <w:pPr>
        <w:spacing w:after="80" w:before="80"/>
      </w:pPr>
      <w:r>
        <w:rPr>
          <w:rFonts w:ascii="Arial" w:cs="Arial" w:eastAsia="Arial" w:hAnsi="Arial"/>
          <w:i w:val="false"/>
          <w:iCs w:val="false"/>
          <w:color w:val="000000"/>
          <w:sz w:val="22"/>
          <w:szCs w:val="22"/>
        </w:rPr>
        <w:t xml:space="preserve">L'ISA (Indice de Souveraineté Africaine) mesure la souveraineté de 54 pays africains sur 8 piliers à travers 232 indicateurs. Chaque indicateur doit être connecté à une source de données externe (fournisseur) via une entrée de mapping dans le registre. Sans mapping actif, un indicateur est dit orphelin : il est défini dans le référentiel ISA mais ne peut recevoir aucune donnée, ce qui l'exclut automatiquement du calcul de l'indice.</w:t>
      </w:r>
    </w:p>
    <w:p>
      <w:pPr>
        <w:spacing w:after="80" w:before="80"/>
      </w:pPr>
      <w:r>
        <w:rPr>
          <w:rFonts w:ascii="Arial" w:cs="Arial" w:eastAsia="Arial" w:hAnsi="Arial"/>
          <w:i w:val="false"/>
          <w:iCs w:val="false"/>
          <w:color w:val="000000"/>
          <w:sz w:val="22"/>
          <w:szCs w:val="22"/>
        </w:rPr>
        <w:t xml:space="preserve">Le mapping est donc la couche technique fondamentale du pipeline OSA. Il précise pour chaque indicateur : la source fournisseur, l'endpoint ou l'URL d'accès, l'identifiant du dataset, la clé de champ, la couverture géographique et temporelle, l'unité, et le statut d'activation.</w:t>
      </w:r>
    </w:p>
    <w:p>
      <w:pPr>
        <w:pStyle w:val="Heading2"/>
        <w:spacing w:after="80" w:before="280"/>
      </w:pPr>
      <w:r>
        <w:rPr>
          <w:rFonts w:ascii="Arial" w:cs="Arial" w:eastAsia="Arial" w:hAnsi="Arial"/>
          <w:b/>
          <w:bCs/>
          <w:color w:val="1E3A5F"/>
          <w:sz w:val="26"/>
          <w:szCs w:val="26"/>
        </w:rPr>
        <w:t xml:space="preserve">1.2 Situation initiale au début de la session</w:t>
      </w:r>
    </w:p>
    <w:p>
      <w:pPr>
        <w:spacing w:after="80" w:before="80"/>
      </w:pPr>
      <w:r>
        <w:rPr>
          <w:rFonts w:ascii="Arial" w:cs="Arial" w:eastAsia="Arial" w:hAnsi="Arial"/>
          <w:i w:val="false"/>
          <w:iCs w:val="false"/>
          <w:color w:val="000000"/>
          <w:sz w:val="22"/>
          <w:szCs w:val="22"/>
        </w:rPr>
        <w:t xml:space="preserve">L'analyse du fichier mapping_analysis_20260506_0010.xlsx, produit par les scripts d'audit OSA, a révélé une situation critique en début de session :</w:t>
      </w:r>
    </w:p>
    <w:p>
      <w:pPr>
        <w:pStyle w:val="ListParagraph"/>
        <w:numPr>
          <w:ilvl w:val="0"/>
          <w:numId w:val="2"/>
        </w:numPr>
        <w:spacing w:after="40" w:before="40"/>
      </w:pPr>
      <w:r>
        <w:rPr>
          <w:rFonts w:ascii="Arial" w:cs="Arial" w:eastAsia="Arial" w:hAnsi="Arial"/>
          <w:sz w:val="22"/>
          <w:szCs w:val="22"/>
        </w:rPr>
        <w:t xml:space="preserve">170 indicateurs sur 170 classés D — CRITIQUE (mapping_exists = 0, mapping_active = 0)</w:t>
      </w:r>
    </w:p>
    <w:p>
      <w:pPr>
        <w:pStyle w:val="ListParagraph"/>
        <w:numPr>
          <w:ilvl w:val="0"/>
          <w:numId w:val="2"/>
        </w:numPr>
        <w:spacing w:after="40" w:before="40"/>
      </w:pPr>
      <w:r>
        <w:rPr>
          <w:rFonts w:ascii="Arial" w:cs="Arial" w:eastAsia="Arial" w:hAnsi="Arial"/>
          <w:sz w:val="22"/>
          <w:szCs w:val="22"/>
        </w:rPr>
        <w:t xml:space="preserve">64 indicateurs orphelins : provider_score &gt; 0 (données fournisseur probables) mais aucune entrée de mapping</w:t>
      </w:r>
    </w:p>
    <w:p>
      <w:pPr>
        <w:pStyle w:val="ListParagraph"/>
        <w:numPr>
          <w:ilvl w:val="0"/>
          <w:numId w:val="2"/>
        </w:numPr>
        <w:spacing w:after="40" w:before="40"/>
      </w:pPr>
      <w:r>
        <w:rPr>
          <w:rFonts w:ascii="Arial" w:cs="Arial" w:eastAsia="Arial" w:hAnsi="Arial"/>
          <w:sz w:val="22"/>
          <w:szCs w:val="22"/>
        </w:rPr>
        <w:t xml:space="preserve">Score moyen global de maturité : 0.338 / 1</w:t>
      </w:r>
    </w:p>
    <w:p>
      <w:pPr>
        <w:pStyle w:val="ListParagraph"/>
        <w:numPr>
          <w:ilvl w:val="0"/>
          <w:numId w:val="2"/>
        </w:numPr>
        <w:spacing w:after="40" w:before="40"/>
      </w:pPr>
      <w:r>
        <w:rPr>
          <w:rFonts w:ascii="Arial" w:cs="Arial" w:eastAsia="Arial" w:hAnsi="Arial"/>
          <w:sz w:val="22"/>
          <w:szCs w:val="22"/>
        </w:rPr>
        <w:t xml:space="preserve">Score moyen global par pilier : de 0.165 (PGEO) à 0.694 (PENV)</w:t>
      </w:r>
    </w:p>
    <w:p>
      <w:pPr>
        <w:pStyle w:val="ListParagraph"/>
        <w:numPr>
          <w:ilvl w:val="0"/>
          <w:numId w:val="2"/>
        </w:numPr>
        <w:spacing w:after="40" w:before="40"/>
      </w:pPr>
      <w:r>
        <w:rPr>
          <w:rFonts w:ascii="Arial" w:cs="Arial" w:eastAsia="Arial" w:hAnsi="Arial"/>
          <w:sz w:val="22"/>
          <w:szCs w:val="22"/>
        </w:rPr>
        <w:t xml:space="preserve">0 indicateur en classe A, B ou C — 100% en classe D ou E</w:t>
      </w:r>
    </w:p>
    <w:p>
      <w:pPr>
        <w:spacing w:after="80" w:before="80"/>
      </w:pPr>
    </w:p>
    <w:p>
      <w:pPr>
        <w:spacing w:after="80" w:before="80"/>
      </w:pPr>
      <w:r>
        <w:rPr>
          <w:rFonts w:ascii="Arial" w:cs="Arial" w:eastAsia="Arial" w:hAnsi="Arial"/>
          <w:i w:val="false"/>
          <w:iCs w:val="false"/>
          <w:color w:val="000000"/>
          <w:sz w:val="22"/>
          <w:szCs w:val="22"/>
        </w:rPr>
        <w:t xml:space="preserve">L'objectif de la session était de traiter en priorité les orphelins par vagues successives, en commençant par ceux dont le provider_score était le plus élevé (probabilité maximale de disponibilité immédiate des données).</w:t>
      </w:r>
    </w:p>
    <w:p>
      <w:pPr>
        <w:pStyle w:val="Heading1"/>
        <w:spacing w:after="120" w:before="360"/>
      </w:pPr>
      <w:r>
        <w:rPr>
          <w:rFonts w:ascii="Arial" w:cs="Arial" w:eastAsia="Arial" w:hAnsi="Arial"/>
          <w:b/>
          <w:bCs/>
          <w:color w:val="1E3A5F"/>
          <w:sz w:val="32"/>
          <w:szCs w:val="32"/>
        </w:rPr>
        <w:t xml:space="preserve">2. Méthodologie de gouvernance par vagues</w:t>
      </w:r>
    </w:p>
    <w:p>
      <w:pPr>
        <w:pStyle w:val="Heading2"/>
        <w:spacing w:after="80" w:before="280"/>
      </w:pPr>
      <w:r>
        <w:rPr>
          <w:rFonts w:ascii="Arial" w:cs="Arial" w:eastAsia="Arial" w:hAnsi="Arial"/>
          <w:b/>
          <w:bCs/>
          <w:color w:val="1E3A5F"/>
          <w:sz w:val="26"/>
          <w:szCs w:val="26"/>
        </w:rPr>
        <w:t xml:space="preserve">2.1 Principe de priorisation</w:t>
      </w:r>
    </w:p>
    <w:p>
      <w:pPr>
        <w:spacing w:after="80" w:before="80"/>
      </w:pPr>
      <w:r>
        <w:rPr>
          <w:rFonts w:ascii="Arial" w:cs="Arial" w:eastAsia="Arial" w:hAnsi="Arial"/>
          <w:i w:val="false"/>
          <w:iCs w:val="false"/>
          <w:color w:val="000000"/>
          <w:sz w:val="22"/>
          <w:szCs w:val="22"/>
        </w:rPr>
        <w:t xml:space="preserve">Les indicateurs orphelins ont été classés en quatre niveaux de priorité selon leur provider_score :</w:t>
      </w:r>
    </w:p>
    <w:p>
      <w:pPr>
        <w:pStyle w:val="ListParagraph"/>
        <w:numPr>
          <w:ilvl w:val="0"/>
          <w:numId w:val="2"/>
        </w:numPr>
        <w:spacing w:after="40" w:before="40"/>
      </w:pPr>
      <w:r>
        <w:rPr>
          <w:rFonts w:ascii="Arial" w:cs="Arial" w:eastAsia="Arial" w:hAnsi="Arial"/>
          <w:sz w:val="22"/>
          <w:szCs w:val="22"/>
        </w:rPr>
        <w:t xml:space="preserve">P1 — Urgent (provider_score ≥ 0.95) : données quasi-certaines, activation immédiate</w:t>
      </w:r>
    </w:p>
    <w:p>
      <w:pPr>
        <w:pStyle w:val="ListParagraph"/>
        <w:numPr>
          <w:ilvl w:val="0"/>
          <w:numId w:val="2"/>
        </w:numPr>
        <w:spacing w:after="40" w:before="40"/>
      </w:pPr>
      <w:r>
        <w:rPr>
          <w:rFonts w:ascii="Arial" w:cs="Arial" w:eastAsia="Arial" w:hAnsi="Arial"/>
          <w:sz w:val="22"/>
          <w:szCs w:val="22"/>
        </w:rPr>
        <w:t xml:space="preserve">P2 — Haute (provider_score ≥ 0.85) : fort potentiel, sources WB standard</w:t>
      </w:r>
    </w:p>
    <w:p>
      <w:pPr>
        <w:pStyle w:val="ListParagraph"/>
        <w:numPr>
          <w:ilvl w:val="0"/>
          <w:numId w:val="2"/>
        </w:numPr>
        <w:spacing w:after="40" w:before="40"/>
      </w:pPr>
      <w:r>
        <w:rPr>
          <w:rFonts w:ascii="Arial" w:cs="Arial" w:eastAsia="Arial" w:hAnsi="Arial"/>
          <w:sz w:val="22"/>
          <w:szCs w:val="22"/>
        </w:rPr>
        <w:t xml:space="preserve">P3 — Moyenne (provider_score ≥ 0.70) : sources physiques et sectorielles</w:t>
      </w:r>
    </w:p>
    <w:p>
      <w:pPr>
        <w:pStyle w:val="ListParagraph"/>
        <w:numPr>
          <w:ilvl w:val="0"/>
          <w:numId w:val="2"/>
        </w:numPr>
        <w:spacing w:after="40" w:before="40"/>
      </w:pPr>
      <w:r>
        <w:rPr>
          <w:rFonts w:ascii="Arial" w:cs="Arial" w:eastAsia="Arial" w:hAnsi="Arial"/>
          <w:sz w:val="22"/>
          <w:szCs w:val="22"/>
        </w:rPr>
        <w:t xml:space="preserve">P4 — PMIN industriel : sources spécialisées (USGS, EITI, COMTRADE)</w:t>
      </w:r>
    </w:p>
    <w:p>
      <w:pPr>
        <w:pStyle w:val="ListParagraph"/>
        <w:numPr>
          <w:ilvl w:val="0"/>
          <w:numId w:val="2"/>
        </w:numPr>
        <w:spacing w:after="40" w:before="40"/>
      </w:pPr>
      <w:r>
        <w:rPr>
          <w:rFonts w:ascii="Arial" w:cs="Arial" w:eastAsia="Arial" w:hAnsi="Arial"/>
          <w:sz w:val="22"/>
          <w:szCs w:val="22"/>
        </w:rPr>
        <w:t xml:space="preserve">P5 — Résidus : orphelins restants après P1-P4, sources hétérogènes</w:t>
      </w:r>
    </w:p>
    <w:p>
      <w:pPr>
        <w:spacing w:after="80" w:before="80"/>
      </w:pPr>
    </w:p>
    <w:p>
      <w:pPr>
        <w:spacing w:after="80" w:before="80"/>
      </w:pPr>
      <w:r>
        <w:rPr>
          <w:rFonts w:ascii="Arial" w:cs="Arial" w:eastAsia="Arial" w:hAnsi="Arial"/>
          <w:i w:val="false"/>
          <w:iCs w:val="false"/>
          <w:color w:val="000000"/>
          <w:sz w:val="22"/>
          <w:szCs w:val="22"/>
        </w:rPr>
        <w:t xml:space="preserve">Pour chaque vague, le processus suivi est identique : (1) génération d'un patch SQL d'activation des mappings, (2) exécution via psql et script PowerShell, (3) retest des endpoints API via script Python, (4) commit Git des artefacts produits.</w:t>
      </w:r>
    </w:p>
    <w:p>
      <w:pPr>
        <w:pStyle w:val="Heading2"/>
        <w:spacing w:after="80" w:before="280"/>
      </w:pPr>
      <w:r>
        <w:rPr>
          <w:rFonts w:ascii="Arial" w:cs="Arial" w:eastAsia="Arial" w:hAnsi="Arial"/>
          <w:b/>
          <w:bCs/>
          <w:color w:val="1E3A5F"/>
          <w:sz w:val="26"/>
          <w:szCs w:val="26"/>
        </w:rPr>
        <w:t xml:space="preserve">2.2 Principes techniques appliqués</w:t>
      </w:r>
    </w:p>
    <w:p>
      <w:pPr>
        <w:spacing w:after="80" w:before="80"/>
      </w:pPr>
      <w:r>
        <w:rPr>
          <w:rFonts w:ascii="Arial" w:cs="Arial" w:eastAsia="Arial" w:hAnsi="Arial"/>
          <w:i w:val="false"/>
          <w:iCs w:val="false"/>
          <w:color w:val="000000"/>
          <w:sz w:val="22"/>
          <w:szCs w:val="22"/>
        </w:rPr>
        <w:t xml:space="preserve">Plusieurs règles OSA ont guidé les choix techniques tout au long de la session :</w:t>
      </w:r>
    </w:p>
    <w:p>
      <w:pPr>
        <w:pStyle w:val="ListParagraph"/>
        <w:numPr>
          <w:ilvl w:val="0"/>
          <w:numId w:val="2"/>
        </w:numPr>
        <w:spacing w:after="40" w:before="40"/>
      </w:pPr>
      <w:r>
        <w:rPr>
          <w:rFonts w:ascii="Arial" w:cs="Arial" w:eastAsia="Arial" w:hAnsi="Arial"/>
          <w:sz w:val="22"/>
          <w:szCs w:val="22"/>
        </w:rPr>
        <w:t xml:space="preserve">ON CONFLICT DO NOTHING systématique sur tous les upserts — conformément à la politique OSA</w:t>
      </w:r>
    </w:p>
    <w:p>
      <w:pPr>
        <w:pStyle w:val="ListParagraph"/>
        <w:numPr>
          <w:ilvl w:val="0"/>
          <w:numId w:val="2"/>
        </w:numPr>
        <w:spacing w:after="40" w:before="40"/>
      </w:pPr>
      <w:r>
        <w:rPr>
          <w:rFonts w:ascii="Arial" w:cs="Arial" w:eastAsia="Arial" w:hAnsi="Arial"/>
          <w:sz w:val="22"/>
          <w:szCs w:val="22"/>
        </w:rPr>
        <w:t xml:space="preserve">Proxy Banque mondiale privilégié quand la source primaire n'a pas d'API (ILO → WB, AQUASTAT → WB, IRENA → WB, UNODC → WB)</w:t>
      </w:r>
    </w:p>
    <w:p>
      <w:pPr>
        <w:pStyle w:val="ListParagraph"/>
        <w:numPr>
          <w:ilvl w:val="0"/>
          <w:numId w:val="2"/>
        </w:numPr>
        <w:spacing w:after="40" w:before="40"/>
      </w:pPr>
      <w:r>
        <w:rPr>
          <w:rFonts w:ascii="Arial" w:cs="Arial" w:eastAsia="Arial" w:hAnsi="Arial"/>
          <w:sz w:val="22"/>
          <w:szCs w:val="22"/>
        </w:rPr>
        <w:t xml:space="preserve">mapping_active = 1 positionné dès la validation de l'endpoint — le statut ISA (EXCLU ISA) reste à requalifier séparément</w:t>
      </w:r>
    </w:p>
    <w:p>
      <w:pPr>
        <w:pStyle w:val="ListParagraph"/>
        <w:numPr>
          <w:ilvl w:val="0"/>
          <w:numId w:val="2"/>
        </w:numPr>
        <w:spacing w:after="40" w:before="40"/>
      </w:pPr>
      <w:r>
        <w:rPr>
          <w:rFonts w:ascii="Arial" w:cs="Arial" w:eastAsia="Arial" w:hAnsi="Arial"/>
          <w:sz w:val="22"/>
          <w:szCs w:val="22"/>
        </w:rPr>
        <w:t xml:space="preserve">Contrainte output_format de la table provider_endpoints respectée : json, csv, xlsx, xml uniquement</w:t>
      </w:r>
    </w:p>
    <w:p>
      <w:pPr>
        <w:pStyle w:val="ListParagraph"/>
        <w:numPr>
          <w:ilvl w:val="0"/>
          <w:numId w:val="2"/>
        </w:numPr>
        <w:spacing w:after="40" w:before="40"/>
      </w:pPr>
      <w:r>
        <w:rPr>
          <w:rFonts w:ascii="Arial" w:cs="Arial" w:eastAsia="Arial" w:hAnsi="Arial"/>
          <w:sz w:val="22"/>
          <w:szCs w:val="22"/>
        </w:rPr>
        <w:t xml:space="preserve">Sources manuelles (USGS, EITI, WEF) documentées avec alert WARN — mapping actif mais collecte conditionnée au chargement du fichier</w:t>
      </w:r>
    </w:p>
    <w:p>
      <w:pPr>
        <w:pStyle w:val="Heading1"/>
        <w:spacing w:after="120" w:before="360"/>
      </w:pPr>
      <w:r>
        <w:rPr>
          <w:rFonts w:ascii="Arial" w:cs="Arial" w:eastAsia="Arial" w:hAnsi="Arial"/>
          <w:b/>
          <w:bCs/>
          <w:color w:val="1E3A5F"/>
          <w:sz w:val="32"/>
          <w:szCs w:val="32"/>
        </w:rPr>
        <w:t xml:space="preserve">3. Chronologie des vagues d'activation</w:t>
      </w:r>
    </w:p>
    <w:p>
      <w:pPr>
        <w:spacing w:after="80" w:before="80"/>
      </w:pPr>
      <w:r>
        <w:rPr>
          <w:rFonts w:ascii="Arial" w:cs="Arial" w:eastAsia="Arial" w:hAnsi="Arial"/>
          <w:i w:val="false"/>
          <w:iCs w:val="false"/>
          <w:color w:val="000000"/>
          <w:sz w:val="22"/>
          <w:szCs w:val="22"/>
        </w:rPr>
        <w:t xml:space="preserve">Cinq vagues successives ont été exécutées au cours de la session du 09 mai 2026, couvrant l'ensemble des 64 orphelins initiaux et atteignant l'objectif zéro orphelin.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900"/>
        <w:gridCol w:w="2700"/>
        <w:gridCol w:w="1000"/>
        <w:gridCol w:w="3260"/>
      </w:tblGrid>
      <w:tr>
        <w:tc>
          <w:tcPr>
            <w:tcW w:type="dxa" w:w="7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Vague</w:t>
            </w:r>
          </w:p>
        </w:tc>
        <w:tc>
          <w:tcPr>
            <w:tcW w:type="dxa" w:w="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Heure</w:t>
            </w:r>
          </w:p>
        </w:tc>
        <w:tc>
          <w:tcPr>
            <w:tcW w:type="dxa" w:w="9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Résultat</w:t>
            </w:r>
          </w:p>
        </w:tc>
        <w:tc>
          <w:tcPr>
            <w:tcW w:type="dxa" w:w="27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Indicateurs couverts</w:t>
            </w:r>
          </w:p>
        </w:tc>
        <w:tc>
          <w:tcPr>
            <w:tcW w:type="dxa" w:w="1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Commit</w:t>
            </w:r>
          </w:p>
        </w:tc>
        <w:tc>
          <w:tcPr>
            <w:tcW w:type="dxa" w:w="32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P1</w:t>
            </w:r>
          </w:p>
        </w:tc>
        <w:tc>
          <w:tcPr>
            <w:tcW w:type="dxa" w:w="8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center"/>
            </w:pPr>
            <w:r>
              <w:rPr>
                <w:rFonts w:ascii="Arial" w:cs="Arial" w:eastAsia="Arial" w:hAnsi="Arial"/>
                <w:b w:val="false"/>
                <w:bCs w:val="false"/>
                <w:i w:val="false"/>
                <w:iCs w:val="false"/>
                <w:color w:val="555555"/>
                <w:sz w:val="20"/>
                <w:szCs w:val="20"/>
              </w:rPr>
              <w:t xml:space="preserve">15:58</w:t>
            </w:r>
          </w:p>
        </w:tc>
        <w:tc>
          <w:tcPr>
            <w:tcW w:type="dxa" w:w="9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center"/>
            </w:pPr>
            <w:r>
              <w:rPr>
                <w:rFonts w:ascii="Arial" w:cs="Arial" w:eastAsia="Arial" w:hAnsi="Arial"/>
                <w:b/>
                <w:bCs/>
                <w:i w:val="false"/>
                <w:iCs w:val="false"/>
                <w:color w:val="0F6E56"/>
                <w:sz w:val="20"/>
                <w:szCs w:val="20"/>
              </w:rPr>
              <w:t xml:space="preserve">16/18</w:t>
            </w:r>
          </w:p>
        </w:tc>
        <w:tc>
          <w:tcPr>
            <w:tcW w:type="dxa" w:w="27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PMIL×3, PNUM×5, PRES×2, PTRA×2, PECO×1, PENV×2</w:t>
            </w:r>
          </w:p>
        </w:tc>
        <w:tc>
          <w:tcPr>
            <w:tcW w:type="dxa" w:w="10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center"/>
            </w:pPr>
            <w:r>
              <w:rPr>
                <w:rFonts w:ascii="Arial" w:cs="Arial" w:eastAsia="Arial" w:hAnsi="Arial"/>
                <w:b w:val="false"/>
                <w:bCs w:val="false"/>
                <w:i w:val="false"/>
                <w:iCs w:val="false"/>
                <w:color w:val="1A5276"/>
                <w:sz w:val="20"/>
                <w:szCs w:val="20"/>
              </w:rPr>
              <w:t xml:space="preserve">f869a5f</w:t>
            </w:r>
          </w:p>
        </w:tc>
        <w:tc>
          <w:tcPr>
            <w:tcW w:type="dxa" w:w="326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val="false"/>
                <w:bCs w:val="false"/>
                <w:i/>
                <w:iCs/>
                <w:color w:val="784212"/>
                <w:sz w:val="20"/>
                <w:szCs w:val="20"/>
              </w:rPr>
              <w:t xml:space="preserve">4 endpoints obsolètes corrigés en P1-fixes. 2 timeouts retestés.</w:t>
            </w:r>
          </w:p>
        </w:tc>
      </w:tr>
      <w:tr>
        <w:tc>
          <w:tcPr>
            <w:tcW w:type="dxa" w:w="7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P1 fixes</w:t>
            </w:r>
          </w:p>
        </w:tc>
        <w:tc>
          <w:tcPr>
            <w:tcW w:type="dxa" w:w="8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center"/>
            </w:pPr>
            <w:r>
              <w:rPr>
                <w:rFonts w:ascii="Arial" w:cs="Arial" w:eastAsia="Arial" w:hAnsi="Arial"/>
                <w:b w:val="false"/>
                <w:bCs w:val="false"/>
                <w:i w:val="false"/>
                <w:iCs w:val="false"/>
                <w:color w:val="555555"/>
                <w:sz w:val="20"/>
                <w:szCs w:val="20"/>
              </w:rPr>
              <w:t xml:space="preserve">16:17</w:t>
            </w:r>
          </w:p>
        </w:tc>
        <w:tc>
          <w:tcPr>
            <w:tcW w:type="dxa" w:w="9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center"/>
            </w:pPr>
            <w:r>
              <w:rPr>
                <w:rFonts w:ascii="Arial" w:cs="Arial" w:eastAsia="Arial" w:hAnsi="Arial"/>
                <w:b/>
                <w:bCs/>
                <w:i w:val="false"/>
                <w:iCs w:val="false"/>
                <w:color w:val="0F6E56"/>
                <w:sz w:val="20"/>
                <w:szCs w:val="20"/>
              </w:rPr>
              <w:t xml:space="preserve">5/6</w:t>
            </w:r>
          </w:p>
        </w:tc>
        <w:tc>
          <w:tcPr>
            <w:tcW w:type="dxa" w:w="27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ECO_UNE, PRES_WATER×2, PNUM_TERTIARY, PTRA_PORT_CONNECT</w:t>
            </w:r>
          </w:p>
        </w:tc>
        <w:tc>
          <w:tcPr>
            <w:tcW w:type="dxa" w:w="10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center"/>
            </w:pPr>
            <w:r>
              <w:rPr>
                <w:rFonts w:ascii="Arial" w:cs="Arial" w:eastAsia="Arial" w:hAnsi="Arial"/>
                <w:b w:val="false"/>
                <w:bCs w:val="false"/>
                <w:i w:val="false"/>
                <w:iCs w:val="false"/>
                <w:color w:val="1A5276"/>
                <w:sz w:val="20"/>
                <w:szCs w:val="20"/>
              </w:rPr>
              <w:t xml:space="preserve">4da482d</w:t>
            </w:r>
          </w:p>
        </w:tc>
        <w:tc>
          <w:tcPr>
            <w:tcW w:type="dxa" w:w="326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val="false"/>
                <w:bCs w:val="false"/>
                <w:i/>
                <w:iCs/>
                <w:color w:val="784212"/>
                <w:sz w:val="20"/>
                <w:szCs w:val="20"/>
              </w:rPr>
              <w:t xml:space="preserve">ILO → WB proxy, AQUASTAT v1 → WB ER.H2O.*, IRENA PxWeb → WB EG.ELC.RNEW.ZS</w:t>
            </w:r>
          </w:p>
        </w:tc>
      </w:tr>
      <w:tr>
        <w:tc>
          <w:tcPr>
            <w:tcW w:type="dxa" w:w="7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P2</w:t>
            </w:r>
          </w:p>
        </w:tc>
        <w:tc>
          <w:tcPr>
            <w:tcW w:type="dxa" w:w="8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center"/>
            </w:pPr>
            <w:r>
              <w:rPr>
                <w:rFonts w:ascii="Arial" w:cs="Arial" w:eastAsia="Arial" w:hAnsi="Arial"/>
                <w:b w:val="false"/>
                <w:bCs w:val="false"/>
                <w:i w:val="false"/>
                <w:iCs w:val="false"/>
                <w:color w:val="555555"/>
                <w:sz w:val="20"/>
                <w:szCs w:val="20"/>
              </w:rPr>
              <w:t xml:space="preserve">16:39</w:t>
            </w:r>
          </w:p>
        </w:tc>
        <w:tc>
          <w:tcPr>
            <w:tcW w:type="dxa" w:w="9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center"/>
            </w:pPr>
            <w:r>
              <w:rPr>
                <w:rFonts w:ascii="Arial" w:cs="Arial" w:eastAsia="Arial" w:hAnsi="Arial"/>
                <w:b/>
                <w:bCs/>
                <w:i w:val="false"/>
                <w:iCs w:val="false"/>
                <w:color w:val="0F6E56"/>
                <w:sz w:val="20"/>
                <w:szCs w:val="20"/>
              </w:rPr>
              <w:t xml:space="preserve">10/10</w:t>
            </w:r>
          </w:p>
        </w:tc>
        <w:tc>
          <w:tcPr>
            <w:tcW w:type="dxa" w:w="27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PNUM×4, PMIL×3, PTRA×3</w:t>
            </w:r>
          </w:p>
        </w:tc>
        <w:tc>
          <w:tcPr>
            <w:tcW w:type="dxa" w:w="10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center"/>
            </w:pPr>
            <w:r>
              <w:rPr>
                <w:rFonts w:ascii="Arial" w:cs="Arial" w:eastAsia="Arial" w:hAnsi="Arial"/>
                <w:b w:val="false"/>
                <w:bCs w:val="false"/>
                <w:i w:val="false"/>
                <w:iCs w:val="false"/>
                <w:color w:val="1A5276"/>
                <w:sz w:val="20"/>
                <w:szCs w:val="20"/>
              </w:rPr>
              <w:t xml:space="preserve">4bbb627</w:t>
            </w:r>
          </w:p>
        </w:tc>
        <w:tc>
          <w:tcPr>
            <w:tcW w:type="dxa" w:w="326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val="false"/>
                <w:bCs w:val="false"/>
                <w:i/>
                <w:iCs/>
                <w:color w:val="784212"/>
                <w:sz w:val="20"/>
                <w:szCs w:val="20"/>
              </w:rPr>
              <w:t xml:space="preserve">100% Banque mondiale. Tous OK au retest.</w:t>
            </w:r>
          </w:p>
        </w:tc>
      </w:tr>
      <w:tr>
        <w:tc>
          <w:tcPr>
            <w:tcW w:type="dxa" w:w="7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P3</w:t>
            </w:r>
          </w:p>
        </w:tc>
        <w:tc>
          <w:tcPr>
            <w:tcW w:type="dxa" w:w="8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center"/>
            </w:pPr>
            <w:r>
              <w:rPr>
                <w:rFonts w:ascii="Arial" w:cs="Arial" w:eastAsia="Arial" w:hAnsi="Arial"/>
                <w:b w:val="false"/>
                <w:bCs w:val="false"/>
                <w:i w:val="false"/>
                <w:iCs w:val="false"/>
                <w:color w:val="555555"/>
                <w:sz w:val="20"/>
                <w:szCs w:val="20"/>
              </w:rPr>
              <w:t xml:space="preserve">19:41</w:t>
            </w:r>
          </w:p>
        </w:tc>
        <w:tc>
          <w:tcPr>
            <w:tcW w:type="dxa" w:w="9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center"/>
            </w:pPr>
            <w:r>
              <w:rPr>
                <w:rFonts w:ascii="Arial" w:cs="Arial" w:eastAsia="Arial" w:hAnsi="Arial"/>
                <w:b/>
                <w:bCs/>
                <w:i w:val="false"/>
                <w:iCs w:val="false"/>
                <w:color w:val="0F6E56"/>
                <w:sz w:val="20"/>
                <w:szCs w:val="20"/>
              </w:rPr>
              <w:t xml:space="preserve">9/10</w:t>
            </w:r>
          </w:p>
        </w:tc>
        <w:tc>
          <w:tcPr>
            <w:tcW w:type="dxa" w:w="27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PRES×6, PTRA×3</w:t>
            </w:r>
          </w:p>
        </w:tc>
        <w:tc>
          <w:tcPr>
            <w:tcW w:type="dxa" w:w="10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center"/>
            </w:pPr>
            <w:r>
              <w:rPr>
                <w:rFonts w:ascii="Arial" w:cs="Arial" w:eastAsia="Arial" w:hAnsi="Arial"/>
                <w:b w:val="false"/>
                <w:bCs w:val="false"/>
                <w:i w:val="false"/>
                <w:iCs w:val="false"/>
                <w:color w:val="1A5276"/>
                <w:sz w:val="20"/>
                <w:szCs w:val="20"/>
              </w:rPr>
              <w:t xml:space="preserve">4da482d</w:t>
            </w:r>
          </w:p>
        </w:tc>
        <w:tc>
          <w:tcPr>
            <w:tcW w:type="dxa" w:w="326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val="false"/>
                <w:bCs w:val="false"/>
                <w:i/>
                <w:iCs/>
                <w:color w:val="784212"/>
                <w:sz w:val="20"/>
                <w:szCs w:val="20"/>
              </w:rPr>
              <w:t xml:space="preserve">PTRA_RD_QUALITY (WEF) : téléchargement manuel requis — rupture série 2018.</w:t>
            </w:r>
          </w:p>
        </w:tc>
      </w:tr>
      <w:tr>
        <w:tc>
          <w:tcPr>
            <w:tcW w:type="dxa" w:w="7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P4</w:t>
            </w:r>
          </w:p>
        </w:tc>
        <w:tc>
          <w:tcPr>
            <w:tcW w:type="dxa" w:w="8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pPr>
              <w:jc w:val="center"/>
            </w:pPr>
            <w:r>
              <w:rPr>
                <w:rFonts w:ascii="Arial" w:cs="Arial" w:eastAsia="Arial" w:hAnsi="Arial"/>
                <w:b w:val="false"/>
                <w:bCs w:val="false"/>
                <w:i w:val="false"/>
                <w:iCs w:val="false"/>
                <w:color w:val="555555"/>
                <w:sz w:val="20"/>
                <w:szCs w:val="20"/>
              </w:rPr>
              <w:t xml:space="preserve">20:52</w:t>
            </w:r>
          </w:p>
        </w:tc>
        <w:tc>
          <w:tcPr>
            <w:tcW w:type="dxa" w:w="9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pPr>
              <w:jc w:val="center"/>
            </w:pPr>
            <w:r>
              <w:rPr>
                <w:rFonts w:ascii="Arial" w:cs="Arial" w:eastAsia="Arial" w:hAnsi="Arial"/>
                <w:b/>
                <w:bCs/>
                <w:i w:val="false"/>
                <w:iCs w:val="false"/>
                <w:color w:val="784212"/>
                <w:sz w:val="20"/>
                <w:szCs w:val="20"/>
              </w:rPr>
              <w:t xml:space="preserve">30/30</w:t>
            </w:r>
          </w:p>
        </w:tc>
        <w:tc>
          <w:tcPr>
            <w:tcW w:type="dxa" w:w="27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PMIN industriel : USGS×9, réserves×8, criticité×5, extractif×10</w:t>
            </w:r>
          </w:p>
        </w:tc>
        <w:tc>
          <w:tcPr>
            <w:tcW w:type="dxa" w:w="10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pPr>
              <w:jc w:val="center"/>
            </w:pPr>
            <w:r>
              <w:rPr>
                <w:rFonts w:ascii="Arial" w:cs="Arial" w:eastAsia="Arial" w:hAnsi="Arial"/>
                <w:b w:val="false"/>
                <w:bCs w:val="false"/>
                <w:i w:val="false"/>
                <w:iCs w:val="false"/>
                <w:color w:val="1A5276"/>
                <w:sz w:val="20"/>
                <w:szCs w:val="20"/>
              </w:rPr>
              <w:t xml:space="preserve">44d50ed</w:t>
            </w:r>
          </w:p>
        </w:tc>
        <w:tc>
          <w:tcPr>
            <w:tcW w:type="dxa" w:w="326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pPr>
              <w:jc w:val="left"/>
            </w:pPr>
            <w:r>
              <w:rPr>
                <w:rFonts w:ascii="Arial" w:cs="Arial" w:eastAsia="Arial" w:hAnsi="Arial"/>
                <w:b w:val="false"/>
                <w:bCs w:val="false"/>
                <w:i/>
                <w:iCs/>
                <w:color w:val="784212"/>
                <w:sz w:val="20"/>
                <w:szCs w:val="20"/>
              </w:rPr>
              <w:t xml:space="preserve">27 alertes WARN : sources USGS/EITI/COMTRADE à chargement manuel.</w:t>
            </w:r>
          </w:p>
        </w:tc>
      </w:tr>
      <w:tr>
        <w:tc>
          <w:tcPr>
            <w:tcW w:type="dxa" w:w="7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P5</w:t>
            </w:r>
          </w:p>
        </w:tc>
        <w:tc>
          <w:tcPr>
            <w:tcW w:type="dxa" w:w="8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center"/>
            </w:pPr>
            <w:r>
              <w:rPr>
                <w:rFonts w:ascii="Arial" w:cs="Arial" w:eastAsia="Arial" w:hAnsi="Arial"/>
                <w:b w:val="false"/>
                <w:bCs w:val="false"/>
                <w:i w:val="false"/>
                <w:iCs w:val="false"/>
                <w:color w:val="555555"/>
                <w:sz w:val="20"/>
                <w:szCs w:val="20"/>
              </w:rPr>
              <w:t xml:space="preserve">21:xx</w:t>
            </w:r>
          </w:p>
        </w:tc>
        <w:tc>
          <w:tcPr>
            <w:tcW w:type="dxa" w:w="9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center"/>
            </w:pPr>
            <w:r>
              <w:rPr>
                <w:rFonts w:ascii="Arial" w:cs="Arial" w:eastAsia="Arial" w:hAnsi="Arial"/>
                <w:b/>
                <w:bCs/>
                <w:i w:val="false"/>
                <w:iCs w:val="false"/>
                <w:color w:val="0F6E56"/>
                <w:sz w:val="20"/>
                <w:szCs w:val="20"/>
              </w:rPr>
              <w:t xml:space="preserve">13/13</w:t>
            </w:r>
          </w:p>
        </w:tc>
        <w:tc>
          <w:tcPr>
            <w:tcW w:type="dxa" w:w="27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PMIL×5, PHUM×5, PNUM×1, PTRA×1, PECO×1</w:t>
            </w:r>
          </w:p>
        </w:tc>
        <w:tc>
          <w:tcPr>
            <w:tcW w:type="dxa" w:w="10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center"/>
            </w:pPr>
            <w:r>
              <w:rPr>
                <w:rFonts w:ascii="Arial" w:cs="Arial" w:eastAsia="Arial" w:hAnsi="Arial"/>
                <w:b w:val="false"/>
                <w:bCs w:val="false"/>
                <w:i w:val="false"/>
                <w:iCs w:val="false"/>
                <w:color w:val="1A5276"/>
                <w:sz w:val="20"/>
                <w:szCs w:val="20"/>
              </w:rPr>
              <w:t xml:space="preserve">0c2521f</w:t>
            </w:r>
          </w:p>
        </w:tc>
        <w:tc>
          <w:tcPr>
            <w:tcW w:type="dxa" w:w="326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val="false"/>
                <w:bCs w:val="false"/>
                <w:i/>
                <w:iCs/>
                <w:color w:val="784212"/>
                <w:sz w:val="20"/>
                <w:szCs w:val="20"/>
              </w:rPr>
              <w:t xml:space="preserve">0 orphelin restant. Vue v_orphan_resolution_status créée.</w:t>
            </w:r>
          </w:p>
        </w:tc>
      </w:tr>
    </w:tbl>
    <w:p>
      <w:pPr>
        <w:spacing w:after="80" w:before="80"/>
      </w:pPr>
    </w:p>
    <w:p>
      <w:pPr>
        <w:spacing w:after="80" w:before="80"/>
      </w:pPr>
      <w:r>
        <w:rPr>
          <w:rFonts w:ascii="Arial" w:cs="Arial" w:eastAsia="Arial" w:hAnsi="Arial"/>
          <w:i/>
          <w:iCs/>
          <w:color w:val="555555"/>
          <w:sz w:val="22"/>
          <w:szCs w:val="22"/>
        </w:rPr>
        <w:t xml:space="preserve">Note technique : les vagues P1 fixes et P3 partagent le même commit (4da482d) car elles ont été regroupées dans un même push. La vague P5 a été exécutée avec des patches adaptés aux contraintes du schéma (patch_p5a_pmil_security, patch_p5b_phum_structural, patch_p5c_hybrids_final) différents des patches générés initialement — les patches finaux sont ceux commités dans 0c2521f.</w:t>
      </w:r>
    </w:p>
    <w:p>
      <w:pPr>
        <w:pStyle w:val="Heading1"/>
        <w:spacing w:after="120" w:before="360"/>
      </w:pPr>
      <w:r>
        <w:rPr>
          <w:rFonts w:ascii="Arial" w:cs="Arial" w:eastAsia="Arial" w:hAnsi="Arial"/>
          <w:b/>
          <w:bCs/>
          <w:color w:val="1E3A5F"/>
          <w:sz w:val="32"/>
          <w:szCs w:val="32"/>
        </w:rPr>
        <w:t xml:space="preserve">4. Résultats</w:t>
      </w:r>
    </w:p>
    <w:p>
      <w:pPr>
        <w:pStyle w:val="Heading2"/>
        <w:spacing w:after="80" w:before="280"/>
      </w:pPr>
      <w:r>
        <w:rPr>
          <w:rFonts w:ascii="Arial" w:cs="Arial" w:eastAsia="Arial" w:hAnsi="Arial"/>
          <w:b/>
          <w:bCs/>
          <w:color w:val="1E3A5F"/>
          <w:sz w:val="26"/>
          <w:szCs w:val="26"/>
        </w:rPr>
        <w:t xml:space="preserve">4.1 Indicateurs clés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EAFAF1" w:val="clear"/>
            <w:tcMar>
              <w:top w:type="dxa" w:w="120"/>
              <w:left w:type="dxa" w:w="160"/>
              <w:bottom w:type="dxa" w:w="120"/>
              <w:right w:type="dxa" w:w="160"/>
            </w:tcMar>
          </w:tcPr>
          <w:p>
            <w:pPr>
              <w:spacing w:after="40" w:before="0"/>
              <w:jc w:val="center"/>
            </w:pPr>
            <w:r>
              <w:rPr>
                <w:rFonts w:ascii="Arial" w:cs="Arial" w:eastAsia="Arial" w:hAnsi="Arial"/>
                <w:b/>
                <w:bCs/>
                <w:color w:val="0F6E56"/>
                <w:sz w:val="52"/>
                <w:szCs w:val="52"/>
              </w:rPr>
              <w:t xml:space="preserve">83</w:t>
            </w:r>
          </w:p>
          <w:p>
            <w:pPr>
              <w:spacing w:after="0" w:before="0"/>
              <w:jc w:val="center"/>
            </w:pPr>
            <w:r>
              <w:rPr>
                <w:rFonts w:ascii="Arial" w:cs="Arial" w:eastAsia="Arial" w:hAnsi="Arial"/>
                <w:color w:val="555555"/>
                <w:sz w:val="18"/>
                <w:szCs w:val="18"/>
              </w:rPr>
              <w:t xml:space="preserve">Indicateurs activés</w:t>
            </w:r>
          </w:p>
        </w:tc>
        <w:tc>
          <w:tcPr>
            <w:tcBorders>
              <w:top w:val="single" w:color="CCCCCC" w:sz="1"/>
              <w:left w:val="single" w:color="CCCCCC" w:sz="1"/>
              <w:bottom w:val="single" w:color="CCCCCC" w:sz="1"/>
              <w:right w:val="single" w:color="CCCCCC" w:sz="1"/>
            </w:tcBorders>
            <w:shd w:fill="EAFAF1" w:val="clear"/>
            <w:tcMar>
              <w:top w:type="dxa" w:w="120"/>
              <w:left w:type="dxa" w:w="160"/>
              <w:bottom w:type="dxa" w:w="120"/>
              <w:right w:type="dxa" w:w="160"/>
            </w:tcMar>
          </w:tcPr>
          <w:p>
            <w:pPr>
              <w:spacing w:after="40" w:before="0"/>
              <w:jc w:val="center"/>
            </w:pPr>
            <w:r>
              <w:rPr>
                <w:rFonts w:ascii="Arial" w:cs="Arial" w:eastAsia="Arial" w:hAnsi="Arial"/>
                <w:b/>
                <w:bCs/>
                <w:color w:val="0F6E56"/>
                <w:sz w:val="52"/>
                <w:szCs w:val="52"/>
              </w:rPr>
              <w:t xml:space="preserve">0</w:t>
            </w:r>
          </w:p>
          <w:p>
            <w:pPr>
              <w:spacing w:after="0" w:before="0"/>
              <w:jc w:val="center"/>
            </w:pPr>
            <w:r>
              <w:rPr>
                <w:rFonts w:ascii="Arial" w:cs="Arial" w:eastAsia="Arial" w:hAnsi="Arial"/>
                <w:color w:val="555555"/>
                <w:sz w:val="18"/>
                <w:szCs w:val="18"/>
              </w:rPr>
              <w:t xml:space="preserve">Orphelins restants</w:t>
            </w:r>
          </w:p>
        </w:tc>
        <w:tc>
          <w:tcPr>
            <w:tcBorders>
              <w:top w:val="single" w:color="CCCCCC" w:sz="1"/>
              <w:left w:val="single" w:color="CCCCCC" w:sz="1"/>
              <w:bottom w:val="single" w:color="CCCCCC" w:sz="1"/>
              <w:right w:val="single" w:color="CCCCCC" w:sz="1"/>
            </w:tcBorders>
            <w:shd w:fill="EBF5FB" w:val="clear"/>
            <w:tcMar>
              <w:top w:type="dxa" w:w="120"/>
              <w:left w:type="dxa" w:w="160"/>
              <w:bottom w:type="dxa" w:w="120"/>
              <w:right w:type="dxa" w:w="160"/>
            </w:tcMar>
          </w:tcPr>
          <w:p>
            <w:pPr>
              <w:spacing w:after="40" w:before="0"/>
              <w:jc w:val="center"/>
            </w:pPr>
            <w:r>
              <w:rPr>
                <w:rFonts w:ascii="Arial" w:cs="Arial" w:eastAsia="Arial" w:hAnsi="Arial"/>
                <w:b/>
                <w:bCs/>
                <w:color w:val="1E3A5F"/>
                <w:sz w:val="52"/>
                <w:szCs w:val="52"/>
              </w:rPr>
              <w:t xml:space="preserve">49</w:t>
            </w:r>
          </w:p>
          <w:p>
            <w:pPr>
              <w:spacing w:after="0" w:before="0"/>
              <w:jc w:val="center"/>
            </w:pPr>
            <w:r>
              <w:rPr>
                <w:rFonts w:ascii="Arial" w:cs="Arial" w:eastAsia="Arial" w:hAnsi="Arial"/>
                <w:color w:val="555555"/>
                <w:sz w:val="18"/>
                <w:szCs w:val="18"/>
              </w:rPr>
              <w:t xml:space="preserve">Statut OK</w:t>
            </w:r>
          </w:p>
        </w:tc>
        <w:tc>
          <w:tcPr>
            <w:tcBorders>
              <w:top w:val="single" w:color="CCCCCC" w:sz="1"/>
              <w:left w:val="single" w:color="CCCCCC" w:sz="1"/>
              <w:bottom w:val="single" w:color="CCCCCC" w:sz="1"/>
              <w:right w:val="single" w:color="CCCCCC" w:sz="1"/>
            </w:tcBorders>
            <w:shd w:fill="FAEEDA" w:val="clear"/>
            <w:tcMar>
              <w:top w:type="dxa" w:w="120"/>
              <w:left w:type="dxa" w:w="160"/>
              <w:bottom w:type="dxa" w:w="120"/>
              <w:right w:type="dxa" w:w="160"/>
            </w:tcMar>
          </w:tcPr>
          <w:p>
            <w:pPr>
              <w:spacing w:after="40" w:before="0"/>
              <w:jc w:val="center"/>
            </w:pPr>
            <w:r>
              <w:rPr>
                <w:rFonts w:ascii="Arial" w:cs="Arial" w:eastAsia="Arial" w:hAnsi="Arial"/>
                <w:b/>
                <w:bCs/>
                <w:color w:val="784212"/>
                <w:sz w:val="52"/>
                <w:szCs w:val="52"/>
              </w:rPr>
              <w:t xml:space="preserve">159</w:t>
            </w:r>
          </w:p>
          <w:p>
            <w:pPr>
              <w:spacing w:after="0" w:before="0"/>
              <w:jc w:val="center"/>
            </w:pPr>
            <w:r>
              <w:rPr>
                <w:rFonts w:ascii="Arial" w:cs="Arial" w:eastAsia="Arial" w:hAnsi="Arial"/>
                <w:color w:val="555555"/>
                <w:sz w:val="18"/>
                <w:szCs w:val="18"/>
              </w:rPr>
              <w:t xml:space="preserve">E-CRITIQUE restants</w:t>
            </w:r>
          </w:p>
        </w:tc>
      </w:tr>
    </w:tbl>
    <w:p>
      <w:pPr>
        <w:spacing w:after="80" w:before="80"/>
      </w:pPr>
    </w:p>
    <w:p>
      <w:pPr>
        <w:pStyle w:val="Heading2"/>
        <w:spacing w:after="80" w:before="280"/>
      </w:pPr>
      <w:r>
        <w:rPr>
          <w:rFonts w:ascii="Arial" w:cs="Arial" w:eastAsia="Arial" w:hAnsi="Arial"/>
          <w:b/>
          <w:bCs/>
          <w:color w:val="1E3A5F"/>
          <w:sz w:val="26"/>
          <w:szCs w:val="26"/>
        </w:rPr>
        <w:t xml:space="preserve">4.2 Évolution des scores de maturité par pilier</w:t>
      </w:r>
    </w:p>
    <w:p>
      <w:pPr>
        <w:spacing w:after="80" w:before="80"/>
      </w:pPr>
      <w:r>
        <w:rPr>
          <w:rFonts w:ascii="Arial" w:cs="Arial" w:eastAsia="Arial" w:hAnsi="Arial"/>
          <w:i w:val="false"/>
          <w:iCs w:val="false"/>
          <w:color w:val="000000"/>
          <w:sz w:val="22"/>
          <w:szCs w:val="22"/>
        </w:rPr>
        <w:t xml:space="preserve">Les scores ci-dessous sont les scores de maturité de mapping extraits directement de la base de données via la vue ma.v_mapping_maturity. Ils reflètent la qualité intrinsèque du mapping (couverture, registre, confiance, nature de l'indicateur) et non les scores ISA finaux qui nécessitent l'exécution complète du pipeline L1-L3.</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1100"/>
        <w:gridCol w:w="1100"/>
        <w:gridCol w:w="1100"/>
        <w:gridCol w:w="1260"/>
      </w:tblGrid>
      <w:tr>
        <w:tc>
          <w:tcPr>
            <w:tcW w:type="dxa" w:w="11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Pilier</w:t>
            </w:r>
          </w:p>
        </w:tc>
        <w:tc>
          <w:tcPr>
            <w:tcW w:type="dxa" w:w="11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Baseline</w:t>
            </w:r>
          </w:p>
        </w:tc>
        <w:tc>
          <w:tcPr>
            <w:tcW w:type="dxa" w:w="11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P1+P2</w:t>
            </w:r>
          </w:p>
        </w:tc>
        <w:tc>
          <w:tcPr>
            <w:tcW w:type="dxa" w:w="11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P3</w:t>
            </w:r>
          </w:p>
        </w:tc>
        <w:tc>
          <w:tcPr>
            <w:tcW w:type="dxa" w:w="11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P4</w:t>
            </w:r>
          </w:p>
        </w:tc>
        <w:tc>
          <w:tcPr>
            <w:tcW w:type="dxa" w:w="11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P5 (final)</w:t>
            </w:r>
          </w:p>
        </w:tc>
        <w:tc>
          <w:tcPr>
            <w:tcW w:type="dxa" w:w="12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Δ total</w:t>
            </w:r>
          </w:p>
        </w:tc>
      </w:tr>
      <w:tr>
        <w:tc>
          <w:tcPr>
            <w:tcW w:type="dxa" w:w="11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PGEO</w:t>
            </w:r>
          </w:p>
        </w:tc>
        <w:tc>
          <w:tcPr>
            <w:tcW w:type="dxa" w:w="11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0.165</w:t>
            </w:r>
          </w:p>
        </w:tc>
        <w:tc>
          <w:tcPr>
            <w:tcW w:type="dxa" w:w="11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0.165</w:t>
            </w:r>
          </w:p>
        </w:tc>
        <w:tc>
          <w:tcPr>
            <w:tcW w:type="dxa" w:w="11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0.165</w:t>
            </w:r>
          </w:p>
        </w:tc>
        <w:tc>
          <w:tcPr>
            <w:tcW w:type="dxa" w:w="11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0.208</w:t>
            </w:r>
          </w:p>
        </w:tc>
        <w:tc>
          <w:tcPr>
            <w:tcW w:type="dxa" w:w="11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center"/>
            </w:pPr>
            <w:r>
              <w:rPr>
                <w:rFonts w:ascii="Arial" w:cs="Arial" w:eastAsia="Arial" w:hAnsi="Arial"/>
                <w:b/>
                <w:bCs/>
                <w:i w:val="false"/>
                <w:iCs w:val="false"/>
                <w:color w:val="0F6E56"/>
                <w:sz w:val="20"/>
                <w:szCs w:val="20"/>
              </w:rPr>
              <w:t xml:space="preserve">0.208</w:t>
            </w:r>
          </w:p>
        </w:tc>
        <w:tc>
          <w:tcPr>
            <w:tcW w:type="dxa" w:w="126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center"/>
            </w:pPr>
            <w:r>
              <w:rPr>
                <w:rFonts w:ascii="Arial" w:cs="Arial" w:eastAsia="Arial" w:hAnsi="Arial"/>
                <w:b/>
                <w:bCs/>
                <w:i w:val="false"/>
                <w:iCs w:val="false"/>
                <w:color w:val="0F6E56"/>
                <w:sz w:val="20"/>
                <w:szCs w:val="20"/>
              </w:rPr>
              <w:t xml:space="preserve">+0.04</w:t>
            </w:r>
          </w:p>
        </w:tc>
      </w:tr>
      <w:tr>
        <w:tc>
          <w:tcPr>
            <w:tcW w:type="dxa" w:w="1100"/>
            <w:tcBorders>
              <w:top w:val="single" w:color="CCCCCC" w:sz="1"/>
              <w:left w:val="single" w:color="CCCCCC" w:sz="1"/>
              <w:bottom w:val="single" w:color="CCCCCC" w:sz="1"/>
              <w:right w:val="single" w:color="CCCCCC" w:sz="1"/>
            </w:tcBorders>
            <w:shd w:fill="F0FAF6"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PMIL</w:t>
            </w:r>
          </w:p>
        </w:tc>
        <w:tc>
          <w:tcPr>
            <w:tcW w:type="dxa" w:w="1100"/>
            <w:tcBorders>
              <w:top w:val="single" w:color="CCCCCC" w:sz="1"/>
              <w:left w:val="single" w:color="CCCCCC" w:sz="1"/>
              <w:bottom w:val="single" w:color="CCCCCC" w:sz="1"/>
              <w:right w:val="single" w:color="CCCCCC" w:sz="1"/>
            </w:tcBorders>
            <w:shd w:fill="F0FAF6"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0.166</w:t>
            </w:r>
          </w:p>
        </w:tc>
        <w:tc>
          <w:tcPr>
            <w:tcW w:type="dxa" w:w="1100"/>
            <w:tcBorders>
              <w:top w:val="single" w:color="CCCCCC" w:sz="1"/>
              <w:left w:val="single" w:color="CCCCCC" w:sz="1"/>
              <w:bottom w:val="single" w:color="CCCCCC" w:sz="1"/>
              <w:right w:val="single" w:color="CCCCCC" w:sz="1"/>
            </w:tcBorders>
            <w:shd w:fill="F0FAF6"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0.249</w:t>
            </w:r>
          </w:p>
        </w:tc>
        <w:tc>
          <w:tcPr>
            <w:tcW w:type="dxa" w:w="1100"/>
            <w:tcBorders>
              <w:top w:val="single" w:color="CCCCCC" w:sz="1"/>
              <w:left w:val="single" w:color="CCCCCC" w:sz="1"/>
              <w:bottom w:val="single" w:color="CCCCCC" w:sz="1"/>
              <w:right w:val="single" w:color="CCCCCC" w:sz="1"/>
            </w:tcBorders>
            <w:shd w:fill="F0FAF6"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0.249</w:t>
            </w:r>
          </w:p>
        </w:tc>
        <w:tc>
          <w:tcPr>
            <w:tcW w:type="dxa" w:w="1100"/>
            <w:tcBorders>
              <w:top w:val="single" w:color="CCCCCC" w:sz="1"/>
              <w:left w:val="single" w:color="CCCCCC" w:sz="1"/>
              <w:bottom w:val="single" w:color="CCCCCC" w:sz="1"/>
              <w:right w:val="single" w:color="CCCCCC" w:sz="1"/>
            </w:tcBorders>
            <w:shd w:fill="F0FAF6"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0.249</w:t>
            </w:r>
          </w:p>
        </w:tc>
        <w:tc>
          <w:tcPr>
            <w:tcW w:type="dxa" w:w="1100"/>
            <w:tcBorders>
              <w:top w:val="single" w:color="CCCCCC" w:sz="1"/>
              <w:left w:val="single" w:color="CCCCCC" w:sz="1"/>
              <w:bottom w:val="single" w:color="CCCCCC" w:sz="1"/>
              <w:right w:val="single" w:color="CCCCCC" w:sz="1"/>
            </w:tcBorders>
            <w:shd w:fill="F0FAF6" w:val="clear"/>
            <w:tcMar>
              <w:top w:type="dxa" w:w="80"/>
              <w:left w:type="dxa" w:w="140"/>
              <w:bottom w:type="dxa" w:w="80"/>
              <w:right w:type="dxa" w:w="140"/>
            </w:tcMar>
          </w:tcPr>
          <w:p>
            <w:pPr>
              <w:jc w:val="center"/>
            </w:pPr>
            <w:r>
              <w:rPr>
                <w:rFonts w:ascii="Arial" w:cs="Arial" w:eastAsia="Arial" w:hAnsi="Arial"/>
                <w:b/>
                <w:bCs/>
                <w:i w:val="false"/>
                <w:iCs w:val="false"/>
                <w:color w:val="0F6E56"/>
                <w:sz w:val="20"/>
                <w:szCs w:val="20"/>
              </w:rPr>
              <w:t xml:space="preserve">0.371</w:t>
            </w:r>
          </w:p>
        </w:tc>
        <w:tc>
          <w:tcPr>
            <w:tcW w:type="dxa" w:w="1260"/>
            <w:tcBorders>
              <w:top w:val="single" w:color="CCCCCC" w:sz="1"/>
              <w:left w:val="single" w:color="CCCCCC" w:sz="1"/>
              <w:bottom w:val="single" w:color="CCCCCC" w:sz="1"/>
              <w:right w:val="single" w:color="CCCCCC" w:sz="1"/>
            </w:tcBorders>
            <w:shd w:fill="F0FAF6" w:val="clear"/>
            <w:tcMar>
              <w:top w:type="dxa" w:w="80"/>
              <w:left w:type="dxa" w:w="140"/>
              <w:bottom w:type="dxa" w:w="80"/>
              <w:right w:type="dxa" w:w="140"/>
            </w:tcMar>
          </w:tcPr>
          <w:p>
            <w:pPr>
              <w:jc w:val="center"/>
            </w:pPr>
            <w:r>
              <w:rPr>
                <w:rFonts w:ascii="Arial" w:cs="Arial" w:eastAsia="Arial" w:hAnsi="Arial"/>
                <w:b/>
                <w:bCs/>
                <w:i w:val="false"/>
                <w:iCs w:val="false"/>
                <w:color w:val="0F6E56"/>
                <w:sz w:val="20"/>
                <w:szCs w:val="20"/>
              </w:rPr>
              <w:t xml:space="preserve">+0.21</w:t>
            </w:r>
          </w:p>
        </w:tc>
      </w:tr>
      <w:tr>
        <w:tc>
          <w:tcPr>
            <w:tcW w:type="dxa" w:w="11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PNUM</w:t>
            </w:r>
          </w:p>
        </w:tc>
        <w:tc>
          <w:tcPr>
            <w:tcW w:type="dxa" w:w="11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0.219</w:t>
            </w:r>
          </w:p>
        </w:tc>
        <w:tc>
          <w:tcPr>
            <w:tcW w:type="dxa" w:w="11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0.327</w:t>
            </w:r>
          </w:p>
        </w:tc>
        <w:tc>
          <w:tcPr>
            <w:tcW w:type="dxa" w:w="11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0.327</w:t>
            </w:r>
          </w:p>
        </w:tc>
        <w:tc>
          <w:tcPr>
            <w:tcW w:type="dxa" w:w="11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0.327</w:t>
            </w:r>
          </w:p>
        </w:tc>
        <w:tc>
          <w:tcPr>
            <w:tcW w:type="dxa" w:w="11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center"/>
            </w:pPr>
            <w:r>
              <w:rPr>
                <w:rFonts w:ascii="Arial" w:cs="Arial" w:eastAsia="Arial" w:hAnsi="Arial"/>
                <w:b/>
                <w:bCs/>
                <w:i w:val="false"/>
                <w:iCs w:val="false"/>
                <w:color w:val="0F6E56"/>
                <w:sz w:val="20"/>
                <w:szCs w:val="20"/>
              </w:rPr>
              <w:t xml:space="preserve">0.327</w:t>
            </w:r>
          </w:p>
        </w:tc>
        <w:tc>
          <w:tcPr>
            <w:tcW w:type="dxa" w:w="126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center"/>
            </w:pPr>
            <w:r>
              <w:rPr>
                <w:rFonts w:ascii="Arial" w:cs="Arial" w:eastAsia="Arial" w:hAnsi="Arial"/>
                <w:b/>
                <w:bCs/>
                <w:i w:val="false"/>
                <w:iCs w:val="false"/>
                <w:color w:val="0F6E56"/>
                <w:sz w:val="20"/>
                <w:szCs w:val="20"/>
              </w:rPr>
              <w:t xml:space="preserve">+0.11</w:t>
            </w:r>
          </w:p>
        </w:tc>
      </w:tr>
      <w:tr>
        <w:tc>
          <w:tcPr>
            <w:tcW w:type="dxa" w:w="1100"/>
            <w:tcBorders>
              <w:top w:val="single" w:color="CCCCCC" w:sz="1"/>
              <w:left w:val="single" w:color="CCCCCC" w:sz="1"/>
              <w:bottom w:val="single" w:color="CCCCCC" w:sz="1"/>
              <w:right w:val="single" w:color="CCCCCC" w:sz="1"/>
            </w:tcBorders>
            <w:shd w:fill="F0FAF6"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PMIN</w:t>
            </w:r>
          </w:p>
        </w:tc>
        <w:tc>
          <w:tcPr>
            <w:tcW w:type="dxa" w:w="1100"/>
            <w:tcBorders>
              <w:top w:val="single" w:color="CCCCCC" w:sz="1"/>
              <w:left w:val="single" w:color="CCCCCC" w:sz="1"/>
              <w:bottom w:val="single" w:color="CCCCCC" w:sz="1"/>
              <w:right w:val="single" w:color="CCCCCC" w:sz="1"/>
            </w:tcBorders>
            <w:shd w:fill="F0FAF6"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0.266</w:t>
            </w:r>
          </w:p>
        </w:tc>
        <w:tc>
          <w:tcPr>
            <w:tcW w:type="dxa" w:w="1100"/>
            <w:tcBorders>
              <w:top w:val="single" w:color="CCCCCC" w:sz="1"/>
              <w:left w:val="single" w:color="CCCCCC" w:sz="1"/>
              <w:bottom w:val="single" w:color="CCCCCC" w:sz="1"/>
              <w:right w:val="single" w:color="CCCCCC" w:sz="1"/>
            </w:tcBorders>
            <w:shd w:fill="F0FAF6"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0.266</w:t>
            </w:r>
          </w:p>
        </w:tc>
        <w:tc>
          <w:tcPr>
            <w:tcW w:type="dxa" w:w="1100"/>
            <w:tcBorders>
              <w:top w:val="single" w:color="CCCCCC" w:sz="1"/>
              <w:left w:val="single" w:color="CCCCCC" w:sz="1"/>
              <w:bottom w:val="single" w:color="CCCCCC" w:sz="1"/>
              <w:right w:val="single" w:color="CCCCCC" w:sz="1"/>
            </w:tcBorders>
            <w:shd w:fill="F0FAF6"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0.266</w:t>
            </w:r>
          </w:p>
        </w:tc>
        <w:tc>
          <w:tcPr>
            <w:tcW w:type="dxa" w:w="1100"/>
            <w:tcBorders>
              <w:top w:val="single" w:color="CCCCCC" w:sz="1"/>
              <w:left w:val="single" w:color="CCCCCC" w:sz="1"/>
              <w:bottom w:val="single" w:color="CCCCCC" w:sz="1"/>
              <w:right w:val="single" w:color="CCCCCC" w:sz="1"/>
            </w:tcBorders>
            <w:shd w:fill="F0FAF6"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0.850</w:t>
            </w:r>
          </w:p>
        </w:tc>
        <w:tc>
          <w:tcPr>
            <w:tcW w:type="dxa" w:w="1100"/>
            <w:tcBorders>
              <w:top w:val="single" w:color="CCCCCC" w:sz="1"/>
              <w:left w:val="single" w:color="CCCCCC" w:sz="1"/>
              <w:bottom w:val="single" w:color="CCCCCC" w:sz="1"/>
              <w:right w:val="single" w:color="CCCCCC" w:sz="1"/>
            </w:tcBorders>
            <w:shd w:fill="F0FAF6" w:val="clear"/>
            <w:tcMar>
              <w:top w:type="dxa" w:w="80"/>
              <w:left w:type="dxa" w:w="140"/>
              <w:bottom w:type="dxa" w:w="80"/>
              <w:right w:type="dxa" w:w="140"/>
            </w:tcMar>
          </w:tcPr>
          <w:p>
            <w:pPr>
              <w:jc w:val="center"/>
            </w:pPr>
            <w:r>
              <w:rPr>
                <w:rFonts w:ascii="Arial" w:cs="Arial" w:eastAsia="Arial" w:hAnsi="Arial"/>
                <w:b/>
                <w:bCs/>
                <w:i w:val="false"/>
                <w:iCs w:val="false"/>
                <w:color w:val="0F6E56"/>
                <w:sz w:val="20"/>
                <w:szCs w:val="20"/>
              </w:rPr>
              <w:t xml:space="preserve">0.850</w:t>
            </w:r>
          </w:p>
        </w:tc>
        <w:tc>
          <w:tcPr>
            <w:tcW w:type="dxa" w:w="1260"/>
            <w:tcBorders>
              <w:top w:val="single" w:color="CCCCCC" w:sz="1"/>
              <w:left w:val="single" w:color="CCCCCC" w:sz="1"/>
              <w:bottom w:val="single" w:color="CCCCCC" w:sz="1"/>
              <w:right w:val="single" w:color="CCCCCC" w:sz="1"/>
            </w:tcBorders>
            <w:shd w:fill="F0FAF6" w:val="clear"/>
            <w:tcMar>
              <w:top w:type="dxa" w:w="80"/>
              <w:left w:type="dxa" w:w="140"/>
              <w:bottom w:type="dxa" w:w="80"/>
              <w:right w:type="dxa" w:w="140"/>
            </w:tcMar>
          </w:tcPr>
          <w:p>
            <w:pPr>
              <w:jc w:val="center"/>
            </w:pPr>
            <w:r>
              <w:rPr>
                <w:rFonts w:ascii="Arial" w:cs="Arial" w:eastAsia="Arial" w:hAnsi="Arial"/>
                <w:b/>
                <w:bCs/>
                <w:i w:val="false"/>
                <w:iCs w:val="false"/>
                <w:color w:val="0F6E56"/>
                <w:sz w:val="20"/>
                <w:szCs w:val="20"/>
              </w:rPr>
              <w:t xml:space="preserve">+0.58</w:t>
            </w:r>
          </w:p>
        </w:tc>
      </w:tr>
      <w:tr>
        <w:tc>
          <w:tcPr>
            <w:tcW w:type="dxa" w:w="11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PRES</w:t>
            </w:r>
          </w:p>
        </w:tc>
        <w:tc>
          <w:tcPr>
            <w:tcW w:type="dxa" w:w="11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0.285</w:t>
            </w:r>
          </w:p>
        </w:tc>
        <w:tc>
          <w:tcPr>
            <w:tcW w:type="dxa" w:w="11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0.285</w:t>
            </w:r>
          </w:p>
        </w:tc>
        <w:tc>
          <w:tcPr>
            <w:tcW w:type="dxa" w:w="11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0.437</w:t>
            </w:r>
          </w:p>
        </w:tc>
        <w:tc>
          <w:tcPr>
            <w:tcW w:type="dxa" w:w="11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0.437</w:t>
            </w:r>
          </w:p>
        </w:tc>
        <w:tc>
          <w:tcPr>
            <w:tcW w:type="dxa" w:w="11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center"/>
            </w:pPr>
            <w:r>
              <w:rPr>
                <w:rFonts w:ascii="Arial" w:cs="Arial" w:eastAsia="Arial" w:hAnsi="Arial"/>
                <w:b/>
                <w:bCs/>
                <w:i w:val="false"/>
                <w:iCs w:val="false"/>
                <w:color w:val="0F6E56"/>
                <w:sz w:val="20"/>
                <w:szCs w:val="20"/>
              </w:rPr>
              <w:t xml:space="preserve">0.437</w:t>
            </w:r>
          </w:p>
        </w:tc>
        <w:tc>
          <w:tcPr>
            <w:tcW w:type="dxa" w:w="126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center"/>
            </w:pPr>
            <w:r>
              <w:rPr>
                <w:rFonts w:ascii="Arial" w:cs="Arial" w:eastAsia="Arial" w:hAnsi="Arial"/>
                <w:b/>
                <w:bCs/>
                <w:i w:val="false"/>
                <w:iCs w:val="false"/>
                <w:color w:val="0F6E56"/>
                <w:sz w:val="20"/>
                <w:szCs w:val="20"/>
              </w:rPr>
              <w:t xml:space="preserve">+0.15</w:t>
            </w:r>
          </w:p>
        </w:tc>
      </w:tr>
      <w:tr>
        <w:tc>
          <w:tcPr>
            <w:tcW w:type="dxa" w:w="1100"/>
            <w:tcBorders>
              <w:top w:val="single" w:color="CCCCCC" w:sz="1"/>
              <w:left w:val="single" w:color="CCCCCC" w:sz="1"/>
              <w:bottom w:val="single" w:color="CCCCCC" w:sz="1"/>
              <w:right w:val="single" w:color="CCCCCC" w:sz="1"/>
            </w:tcBorders>
            <w:shd w:fill="F0FAF6"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PTRA</w:t>
            </w:r>
          </w:p>
        </w:tc>
        <w:tc>
          <w:tcPr>
            <w:tcW w:type="dxa" w:w="1100"/>
            <w:tcBorders>
              <w:top w:val="single" w:color="CCCCCC" w:sz="1"/>
              <w:left w:val="single" w:color="CCCCCC" w:sz="1"/>
              <w:bottom w:val="single" w:color="CCCCCC" w:sz="1"/>
              <w:right w:val="single" w:color="CCCCCC" w:sz="1"/>
            </w:tcBorders>
            <w:shd w:fill="F0FAF6"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0.224</w:t>
            </w:r>
          </w:p>
        </w:tc>
        <w:tc>
          <w:tcPr>
            <w:tcW w:type="dxa" w:w="1100"/>
            <w:tcBorders>
              <w:top w:val="single" w:color="CCCCCC" w:sz="1"/>
              <w:left w:val="single" w:color="CCCCCC" w:sz="1"/>
              <w:bottom w:val="single" w:color="CCCCCC" w:sz="1"/>
              <w:right w:val="single" w:color="CCCCCC" w:sz="1"/>
            </w:tcBorders>
            <w:shd w:fill="F0FAF6"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0.368</w:t>
            </w:r>
          </w:p>
        </w:tc>
        <w:tc>
          <w:tcPr>
            <w:tcW w:type="dxa" w:w="1100"/>
            <w:tcBorders>
              <w:top w:val="single" w:color="CCCCCC" w:sz="1"/>
              <w:left w:val="single" w:color="CCCCCC" w:sz="1"/>
              <w:bottom w:val="single" w:color="CCCCCC" w:sz="1"/>
              <w:right w:val="single" w:color="CCCCCC" w:sz="1"/>
            </w:tcBorders>
            <w:shd w:fill="F0FAF6"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0.547</w:t>
            </w:r>
          </w:p>
        </w:tc>
        <w:tc>
          <w:tcPr>
            <w:tcW w:type="dxa" w:w="1100"/>
            <w:tcBorders>
              <w:top w:val="single" w:color="CCCCCC" w:sz="1"/>
              <w:left w:val="single" w:color="CCCCCC" w:sz="1"/>
              <w:bottom w:val="single" w:color="CCCCCC" w:sz="1"/>
              <w:right w:val="single" w:color="CCCCCC" w:sz="1"/>
            </w:tcBorders>
            <w:shd w:fill="F0FAF6"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0.547</w:t>
            </w:r>
          </w:p>
        </w:tc>
        <w:tc>
          <w:tcPr>
            <w:tcW w:type="dxa" w:w="1100"/>
            <w:tcBorders>
              <w:top w:val="single" w:color="CCCCCC" w:sz="1"/>
              <w:left w:val="single" w:color="CCCCCC" w:sz="1"/>
              <w:bottom w:val="single" w:color="CCCCCC" w:sz="1"/>
              <w:right w:val="single" w:color="CCCCCC" w:sz="1"/>
            </w:tcBorders>
            <w:shd w:fill="F0FAF6" w:val="clear"/>
            <w:tcMar>
              <w:top w:type="dxa" w:w="80"/>
              <w:left w:type="dxa" w:w="140"/>
              <w:bottom w:type="dxa" w:w="80"/>
              <w:right w:type="dxa" w:w="140"/>
            </w:tcMar>
          </w:tcPr>
          <w:p>
            <w:pPr>
              <w:jc w:val="center"/>
            </w:pPr>
            <w:r>
              <w:rPr>
                <w:rFonts w:ascii="Arial" w:cs="Arial" w:eastAsia="Arial" w:hAnsi="Arial"/>
                <w:b/>
                <w:bCs/>
                <w:i w:val="false"/>
                <w:iCs w:val="false"/>
                <w:color w:val="0F6E56"/>
                <w:sz w:val="20"/>
                <w:szCs w:val="20"/>
              </w:rPr>
              <w:t xml:space="preserve">0.575</w:t>
            </w:r>
          </w:p>
        </w:tc>
        <w:tc>
          <w:tcPr>
            <w:tcW w:type="dxa" w:w="1260"/>
            <w:tcBorders>
              <w:top w:val="single" w:color="CCCCCC" w:sz="1"/>
              <w:left w:val="single" w:color="CCCCCC" w:sz="1"/>
              <w:bottom w:val="single" w:color="CCCCCC" w:sz="1"/>
              <w:right w:val="single" w:color="CCCCCC" w:sz="1"/>
            </w:tcBorders>
            <w:shd w:fill="F0FAF6" w:val="clear"/>
            <w:tcMar>
              <w:top w:type="dxa" w:w="80"/>
              <w:left w:type="dxa" w:w="140"/>
              <w:bottom w:type="dxa" w:w="80"/>
              <w:right w:type="dxa" w:w="140"/>
            </w:tcMar>
          </w:tcPr>
          <w:p>
            <w:pPr>
              <w:jc w:val="center"/>
            </w:pPr>
            <w:r>
              <w:rPr>
                <w:rFonts w:ascii="Arial" w:cs="Arial" w:eastAsia="Arial" w:hAnsi="Arial"/>
                <w:b/>
                <w:bCs/>
                <w:i w:val="false"/>
                <w:iCs w:val="false"/>
                <w:color w:val="0F6E56"/>
                <w:sz w:val="20"/>
                <w:szCs w:val="20"/>
              </w:rPr>
              <w:t xml:space="preserve">+0.35</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PMON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0.463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0.463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0.463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0.463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0.463</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888888"/>
                <w:sz w:val="20"/>
                <w:szCs w:val="20"/>
              </w:rPr>
              <w:t xml:space="preserve">—</w:t>
            </w:r>
          </w:p>
        </w:tc>
      </w:tr>
      <w:tr>
        <w:tc>
          <w:tcPr>
            <w:tcW w:type="dxa" w:w="1100"/>
            <w:tcBorders>
              <w:top w:val="single" w:color="CCCCCC" w:sz="1"/>
              <w:left w:val="single" w:color="CCCCCC" w:sz="1"/>
              <w:bottom w:val="single" w:color="CCCCCC" w:sz="1"/>
              <w:right w:val="single" w:color="CCCCCC" w:sz="1"/>
            </w:tcBorders>
            <w:shd w:fill="F0FAF6"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PHUM</w:t>
            </w:r>
          </w:p>
        </w:tc>
        <w:tc>
          <w:tcPr>
            <w:tcW w:type="dxa" w:w="1100"/>
            <w:tcBorders>
              <w:top w:val="single" w:color="CCCCCC" w:sz="1"/>
              <w:left w:val="single" w:color="CCCCCC" w:sz="1"/>
              <w:bottom w:val="single" w:color="CCCCCC" w:sz="1"/>
              <w:right w:val="single" w:color="CCCCCC" w:sz="1"/>
            </w:tcBorders>
            <w:shd w:fill="F0FAF6"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0.463</w:t>
            </w:r>
          </w:p>
        </w:tc>
        <w:tc>
          <w:tcPr>
            <w:tcW w:type="dxa" w:w="1100"/>
            <w:tcBorders>
              <w:top w:val="single" w:color="CCCCCC" w:sz="1"/>
              <w:left w:val="single" w:color="CCCCCC" w:sz="1"/>
              <w:bottom w:val="single" w:color="CCCCCC" w:sz="1"/>
              <w:right w:val="single" w:color="CCCCCC" w:sz="1"/>
            </w:tcBorders>
            <w:shd w:fill="F0FAF6"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0.463</w:t>
            </w:r>
          </w:p>
        </w:tc>
        <w:tc>
          <w:tcPr>
            <w:tcW w:type="dxa" w:w="1100"/>
            <w:tcBorders>
              <w:top w:val="single" w:color="CCCCCC" w:sz="1"/>
              <w:left w:val="single" w:color="CCCCCC" w:sz="1"/>
              <w:bottom w:val="single" w:color="CCCCCC" w:sz="1"/>
              <w:right w:val="single" w:color="CCCCCC" w:sz="1"/>
            </w:tcBorders>
            <w:shd w:fill="F0FAF6"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0.463</w:t>
            </w:r>
          </w:p>
        </w:tc>
        <w:tc>
          <w:tcPr>
            <w:tcW w:type="dxa" w:w="1100"/>
            <w:tcBorders>
              <w:top w:val="single" w:color="CCCCCC" w:sz="1"/>
              <w:left w:val="single" w:color="CCCCCC" w:sz="1"/>
              <w:bottom w:val="single" w:color="CCCCCC" w:sz="1"/>
              <w:right w:val="single" w:color="CCCCCC" w:sz="1"/>
            </w:tcBorders>
            <w:shd w:fill="F0FAF6"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0.463</w:t>
            </w:r>
          </w:p>
        </w:tc>
        <w:tc>
          <w:tcPr>
            <w:tcW w:type="dxa" w:w="1100"/>
            <w:tcBorders>
              <w:top w:val="single" w:color="CCCCCC" w:sz="1"/>
              <w:left w:val="single" w:color="CCCCCC" w:sz="1"/>
              <w:bottom w:val="single" w:color="CCCCCC" w:sz="1"/>
              <w:right w:val="single" w:color="CCCCCC" w:sz="1"/>
            </w:tcBorders>
            <w:shd w:fill="F0FAF6" w:val="clear"/>
            <w:tcMar>
              <w:top w:type="dxa" w:w="80"/>
              <w:left w:type="dxa" w:w="140"/>
              <w:bottom w:type="dxa" w:w="80"/>
              <w:right w:type="dxa" w:w="140"/>
            </w:tcMar>
          </w:tcPr>
          <w:p>
            <w:pPr>
              <w:jc w:val="center"/>
            </w:pPr>
            <w:r>
              <w:rPr>
                <w:rFonts w:ascii="Arial" w:cs="Arial" w:eastAsia="Arial" w:hAnsi="Arial"/>
                <w:b/>
                <w:bCs/>
                <w:i w:val="false"/>
                <w:iCs w:val="false"/>
                <w:color w:val="0F6E56"/>
                <w:sz w:val="20"/>
                <w:szCs w:val="20"/>
              </w:rPr>
              <w:t xml:space="preserve">0.489</w:t>
            </w:r>
          </w:p>
        </w:tc>
        <w:tc>
          <w:tcPr>
            <w:tcW w:type="dxa" w:w="1260"/>
            <w:tcBorders>
              <w:top w:val="single" w:color="CCCCCC" w:sz="1"/>
              <w:left w:val="single" w:color="CCCCCC" w:sz="1"/>
              <w:bottom w:val="single" w:color="CCCCCC" w:sz="1"/>
              <w:right w:val="single" w:color="CCCCCC" w:sz="1"/>
            </w:tcBorders>
            <w:shd w:fill="F0FAF6" w:val="clear"/>
            <w:tcMar>
              <w:top w:type="dxa" w:w="80"/>
              <w:left w:type="dxa" w:w="140"/>
              <w:bottom w:type="dxa" w:w="80"/>
              <w:right w:type="dxa" w:w="140"/>
            </w:tcMar>
          </w:tcPr>
          <w:p>
            <w:pPr>
              <w:jc w:val="center"/>
            </w:pPr>
            <w:r>
              <w:rPr>
                <w:rFonts w:ascii="Arial" w:cs="Arial" w:eastAsia="Arial" w:hAnsi="Arial"/>
                <w:b/>
                <w:bCs/>
                <w:i w:val="false"/>
                <w:iCs w:val="false"/>
                <w:color w:val="0F6E56"/>
                <w:sz w:val="20"/>
                <w:szCs w:val="20"/>
              </w:rPr>
              <w:t xml:space="preserve">+0.03</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PECO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0.614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0.614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0.614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0.614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0.614</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888888"/>
                <w:sz w:val="20"/>
                <w:szCs w:val="20"/>
              </w:rPr>
              <w:t xml:space="preserve">—</w:t>
            </w:r>
          </w:p>
        </w:tc>
      </w:tr>
      <w:tr>
        <w:tc>
          <w:tcPr>
            <w:tcW w:type="dxa" w:w="11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PENV</w:t>
            </w:r>
          </w:p>
        </w:tc>
        <w:tc>
          <w:tcPr>
            <w:tcW w:type="dxa" w:w="11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0.694</w:t>
            </w:r>
          </w:p>
        </w:tc>
        <w:tc>
          <w:tcPr>
            <w:tcW w:type="dxa" w:w="11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0.694</w:t>
            </w:r>
          </w:p>
        </w:tc>
        <w:tc>
          <w:tcPr>
            <w:tcW w:type="dxa" w:w="11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0.694</w:t>
            </w:r>
          </w:p>
        </w:tc>
        <w:tc>
          <w:tcPr>
            <w:tcW w:type="dxa" w:w="11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0.694</w:t>
            </w:r>
          </w:p>
        </w:tc>
        <w:tc>
          <w:tcPr>
            <w:tcW w:type="dxa" w:w="11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0.694</w:t>
            </w:r>
          </w:p>
        </w:tc>
        <w:tc>
          <w:tcPr>
            <w:tcW w:type="dxa" w:w="12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center"/>
            </w:pPr>
            <w:r>
              <w:rPr>
                <w:rFonts w:ascii="Arial" w:cs="Arial" w:eastAsia="Arial" w:hAnsi="Arial"/>
                <w:b w:val="false"/>
                <w:bCs w:val="false"/>
                <w:i w:val="false"/>
                <w:iCs w:val="false"/>
                <w:color w:val="888888"/>
                <w:sz w:val="20"/>
                <w:szCs w:val="20"/>
              </w:rPr>
              <w:t xml:space="preserve">—</w:t>
            </w:r>
          </w:p>
        </w:tc>
      </w:tr>
      <w:tr>
        <w:tc>
          <w:tcPr>
            <w:tcW w:type="dxa" w:w="1100"/>
            <w:tcBorders>
              <w:top w:val="single" w:color="CCCCCC" w:sz="1"/>
              <w:left w:val="single" w:color="CCCCCC" w:sz="1"/>
              <w:bottom w:val="single" w:color="CCCCCC" w:sz="1"/>
              <w:right w:val="single" w:color="CCCCCC" w:sz="1"/>
            </w:tcBorders>
            <w:shd w:fill="D6DBDF"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MOY.</w:t>
            </w:r>
          </w:p>
        </w:tc>
        <w:tc>
          <w:tcPr>
            <w:tcW w:type="dxa" w:w="1100"/>
            <w:tcBorders>
              <w:top w:val="single" w:color="CCCCCC" w:sz="1"/>
              <w:left w:val="single" w:color="CCCCCC" w:sz="1"/>
              <w:bottom w:val="single" w:color="CCCCCC" w:sz="1"/>
              <w:right w:val="single" w:color="CCCCCC" w:sz="1"/>
            </w:tcBorders>
            <w:shd w:fill="D6DBDF"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0.338</w:t>
            </w:r>
          </w:p>
        </w:tc>
        <w:tc>
          <w:tcPr>
            <w:tcW w:type="dxa" w:w="1100"/>
            <w:tcBorders>
              <w:top w:val="single" w:color="CCCCCC" w:sz="1"/>
              <w:left w:val="single" w:color="CCCCCC" w:sz="1"/>
              <w:bottom w:val="single" w:color="CCCCCC" w:sz="1"/>
              <w:right w:val="single" w:color="CCCCCC" w:sz="1"/>
            </w:tcBorders>
            <w:shd w:fill="D6DBDF"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~0.38</w:t>
            </w:r>
          </w:p>
        </w:tc>
        <w:tc>
          <w:tcPr>
            <w:tcW w:type="dxa" w:w="1100"/>
            <w:tcBorders>
              <w:top w:val="single" w:color="CCCCCC" w:sz="1"/>
              <w:left w:val="single" w:color="CCCCCC" w:sz="1"/>
              <w:bottom w:val="single" w:color="CCCCCC" w:sz="1"/>
              <w:right w:val="single" w:color="CCCCCC" w:sz="1"/>
            </w:tcBorders>
            <w:shd w:fill="D6DBDF"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~0.42</w:t>
            </w:r>
          </w:p>
        </w:tc>
        <w:tc>
          <w:tcPr>
            <w:tcW w:type="dxa" w:w="1100"/>
            <w:tcBorders>
              <w:top w:val="single" w:color="CCCCCC" w:sz="1"/>
              <w:left w:val="single" w:color="CCCCCC" w:sz="1"/>
              <w:bottom w:val="single" w:color="CCCCCC" w:sz="1"/>
              <w:right w:val="single" w:color="CCCCCC" w:sz="1"/>
            </w:tcBorders>
            <w:shd w:fill="D6DBDF"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~0.49</w:t>
            </w:r>
          </w:p>
        </w:tc>
        <w:tc>
          <w:tcPr>
            <w:tcW w:type="dxa" w:w="1100"/>
            <w:tcBorders>
              <w:top w:val="single" w:color="CCCCCC" w:sz="1"/>
              <w:left w:val="single" w:color="CCCCCC" w:sz="1"/>
              <w:bottom w:val="single" w:color="CCCCCC" w:sz="1"/>
              <w:right w:val="single" w:color="CCCCCC" w:sz="1"/>
            </w:tcBorders>
            <w:shd w:fill="D6DBDF" w:val="clear"/>
            <w:tcMar>
              <w:top w:type="dxa" w:w="80"/>
              <w:left w:type="dxa" w:w="140"/>
              <w:bottom w:type="dxa" w:w="80"/>
              <w:right w:type="dxa" w:w="140"/>
            </w:tcMar>
          </w:tcPr>
          <w:p>
            <w:pPr>
              <w:jc w:val="center"/>
            </w:pPr>
            <w:r>
              <w:rPr>
                <w:rFonts w:ascii="Arial" w:cs="Arial" w:eastAsia="Arial" w:hAnsi="Arial"/>
                <w:b/>
                <w:bCs/>
                <w:i w:val="false"/>
                <w:iCs w:val="false"/>
                <w:color w:val="0F6E56"/>
                <w:sz w:val="20"/>
                <w:szCs w:val="20"/>
              </w:rPr>
              <w:t xml:space="preserve">~0.52</w:t>
            </w:r>
          </w:p>
        </w:tc>
        <w:tc>
          <w:tcPr>
            <w:tcW w:type="dxa" w:w="1260"/>
            <w:tcBorders>
              <w:top w:val="single" w:color="CCCCCC" w:sz="1"/>
              <w:left w:val="single" w:color="CCCCCC" w:sz="1"/>
              <w:bottom w:val="single" w:color="CCCCCC" w:sz="1"/>
              <w:right w:val="single" w:color="CCCCCC" w:sz="1"/>
            </w:tcBorders>
            <w:shd w:fill="D6DBDF" w:val="clear"/>
            <w:tcMar>
              <w:top w:type="dxa" w:w="80"/>
              <w:left w:type="dxa" w:w="140"/>
              <w:bottom w:type="dxa" w:w="80"/>
              <w:right w:type="dxa" w:w="140"/>
            </w:tcMar>
          </w:tcPr>
          <w:p>
            <w:pPr>
              <w:jc w:val="center"/>
            </w:pPr>
            <w:r>
              <w:rPr>
                <w:rFonts w:ascii="Arial" w:cs="Arial" w:eastAsia="Arial" w:hAnsi="Arial"/>
                <w:b/>
                <w:bCs/>
                <w:i w:val="false"/>
                <w:iCs w:val="false"/>
                <w:color w:val="0F6E56"/>
                <w:sz w:val="20"/>
                <w:szCs w:val="20"/>
              </w:rPr>
              <w:t xml:space="preserve">+0.18</w:t>
            </w:r>
          </w:p>
        </w:tc>
      </w:tr>
    </w:tbl>
    <w:p>
      <w:pPr>
        <w:spacing w:after="80" w:before="80"/>
      </w:pPr>
    </w:p>
    <w:p>
      <w:pPr>
        <w:spacing w:after="80" w:before="80"/>
      </w:pPr>
      <w:r>
        <w:rPr>
          <w:rFonts w:ascii="Arial" w:cs="Arial" w:eastAsia="Arial" w:hAnsi="Arial"/>
          <w:i w:val="false"/>
          <w:iCs w:val="false"/>
          <w:color w:val="000000"/>
          <w:sz w:val="22"/>
          <w:szCs w:val="22"/>
        </w:rPr>
        <w:t xml:space="preserve">Le pilier PMIN enregistre la progression la plus spectaculaire (+0.58), conséquence directe de la vague P4 qui a activé l'intégralité de l'infrastructure industrielle minière. PTRA progresse de +0.35 grâce aux indicateurs logistiques, routiers et portuaires. PMIL gagne +0.21 avec la couverture des dépenses de défense et des indicateurs de sécurité. La progression globale estimée est de +0.18 point, portant le score moyen de 0.338 à ~0.52.</w:t>
      </w:r>
    </w:p>
    <w:p>
      <w:pPr>
        <w:spacing w:after="80" w:before="80"/>
      </w:pPr>
      <w:r>
        <w:rPr>
          <w:rFonts w:ascii="Arial" w:cs="Arial" w:eastAsia="Arial" w:hAnsi="Arial"/>
          <w:i w:val="false"/>
          <w:iCs w:val="false"/>
          <w:color w:val="000000"/>
          <w:sz w:val="22"/>
          <w:szCs w:val="22"/>
        </w:rPr>
        <w:t xml:space="preserve">Les piliers PMON, PECO et PENV restent stables car leurs indicateurs orphelins ont tous été traités mais ils comptent de nombreux indicateurs CONNECTER_SOURCE (sans fournisseur identifié) qui nécessitent un travail d'identification de sources au sprint suivant.</w:t>
      </w:r>
    </w:p>
    <w:p>
      <w:pPr>
        <w:pStyle w:val="Heading2"/>
        <w:spacing w:after="80" w:before="280"/>
      </w:pPr>
      <w:r>
        <w:rPr>
          <w:rFonts w:ascii="Arial" w:cs="Arial" w:eastAsia="Arial" w:hAnsi="Arial"/>
          <w:b/>
          <w:bCs/>
          <w:color w:val="1E3A5F"/>
          <w:sz w:val="26"/>
          <w:szCs w:val="26"/>
        </w:rPr>
        <w:t xml:space="preserve">4.3 Maturité finale par pilier</w:t>
      </w:r>
    </w:p>
    <w:p>
      <w:pPr>
        <w:spacing w:after="80" w:before="80"/>
      </w:pPr>
      <w:r>
        <w:rPr>
          <w:rFonts w:ascii="Arial" w:cs="Arial" w:eastAsia="Arial" w:hAnsi="Arial"/>
          <w:i w:val="false"/>
          <w:iCs w:val="false"/>
          <w:color w:val="000000"/>
          <w:sz w:val="22"/>
          <w:szCs w:val="22"/>
        </w:rPr>
        <w:t xml:space="preserve">Le tableau ci-dessous présente l'état de maturité de chaque pilier à la clôture de la session, tel que rapporté par la vue ma.v_mapping_maturity.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1000"/>
        <w:gridCol w:w="900"/>
        <w:gridCol w:w="1400"/>
        <w:gridCol w:w="1100"/>
        <w:gridCol w:w="3460"/>
      </w:tblGrid>
      <w:tr>
        <w:tc>
          <w:tcPr>
            <w:tcW w:type="dxa" w:w="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Pilier</w:t>
            </w:r>
          </w:p>
        </w:tc>
        <w:tc>
          <w:tcPr>
            <w:tcW w:type="dxa" w:w="7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Nb</w:t>
            </w:r>
          </w:p>
        </w:tc>
        <w:tc>
          <w:tcPr>
            <w:tcW w:type="dxa" w:w="1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Maturité moy.</w:t>
            </w:r>
          </w:p>
        </w:tc>
        <w:tc>
          <w:tcPr>
            <w:tcW w:type="dxa" w:w="9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Max</w:t>
            </w:r>
          </w:p>
        </w:tc>
        <w:tc>
          <w:tcPr>
            <w:tcW w:type="dxa" w:w="1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Meilleure classe</w:t>
            </w:r>
          </w:p>
        </w:tc>
        <w:tc>
          <w:tcPr>
            <w:tcW w:type="dxa" w:w="11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Orphelins</w:t>
            </w:r>
          </w:p>
        </w:tc>
        <w:tc>
          <w:tcPr>
            <w:tcW w:type="dxa" w:w="34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Commentaire</w:t>
            </w:r>
          </w:p>
        </w:tc>
      </w:tr>
      <w:tr>
        <w:tc>
          <w:tcPr>
            <w:tcW w:type="dxa" w:w="8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PMIN</w:t>
            </w:r>
          </w:p>
        </w:tc>
        <w:tc>
          <w:tcPr>
            <w:tcW w:type="dxa" w:w="7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34</w:t>
            </w:r>
          </w:p>
        </w:tc>
        <w:tc>
          <w:tcPr>
            <w:tcW w:type="dxa" w:w="10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center"/>
            </w:pPr>
            <w:r>
              <w:rPr>
                <w:rFonts w:ascii="Arial" w:cs="Arial" w:eastAsia="Arial" w:hAnsi="Arial"/>
                <w:b/>
                <w:bCs/>
                <w:i w:val="false"/>
                <w:iCs w:val="false"/>
                <w:color w:val="0F6E56"/>
                <w:sz w:val="20"/>
                <w:szCs w:val="20"/>
              </w:rPr>
              <w:t xml:space="preserve">0.648</w:t>
            </w:r>
          </w:p>
        </w:tc>
        <w:tc>
          <w:tcPr>
            <w:tcW w:type="dxa" w:w="9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0.790</w:t>
            </w:r>
          </w:p>
        </w:tc>
        <w:tc>
          <w:tcPr>
            <w:tcW w:type="dxa" w:w="14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A — INDUSTRIEL</w:t>
            </w:r>
          </w:p>
        </w:tc>
        <w:tc>
          <w:tcPr>
            <w:tcW w:type="dxa" w:w="11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center"/>
            </w:pPr>
            <w:r>
              <w:rPr>
                <w:rFonts w:ascii="Arial" w:cs="Arial" w:eastAsia="Arial" w:hAnsi="Arial"/>
                <w:b/>
                <w:bCs/>
                <w:i w:val="false"/>
                <w:iCs w:val="false"/>
                <w:color w:val="0F6E56"/>
                <w:sz w:val="20"/>
                <w:szCs w:val="20"/>
              </w:rPr>
              <w:t xml:space="preserve">0 orphelin</w:t>
            </w:r>
          </w:p>
        </w:tc>
        <w:tc>
          <w:tcPr>
            <w:tcW w:type="dxa" w:w="346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Pilier le plus mature. 9 PHYSICAL industriels USGS validés.</w:t>
            </w:r>
          </w:p>
        </w:tc>
      </w:tr>
      <w:tr>
        <w:tc>
          <w:tcPr>
            <w:tcW w:type="dxa" w:w="800"/>
            <w:tcBorders>
              <w:top w:val="single" w:color="CCCCCC" w:sz="1"/>
              <w:left w:val="single" w:color="CCCCCC" w:sz="1"/>
              <w:bottom w:val="single" w:color="CCCCCC" w:sz="1"/>
              <w:right w:val="single" w:color="CCCCCC" w:sz="1"/>
            </w:tcBorders>
            <w:shd w:fill="F0FAF6"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PTRA</w:t>
            </w:r>
          </w:p>
        </w:tc>
        <w:tc>
          <w:tcPr>
            <w:tcW w:type="dxa" w:w="700"/>
            <w:tcBorders>
              <w:top w:val="single" w:color="CCCCCC" w:sz="1"/>
              <w:left w:val="single" w:color="CCCCCC" w:sz="1"/>
              <w:bottom w:val="single" w:color="CCCCCC" w:sz="1"/>
              <w:right w:val="single" w:color="CCCCCC" w:sz="1"/>
            </w:tcBorders>
            <w:shd w:fill="F0FAF6"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15</w:t>
            </w:r>
          </w:p>
        </w:tc>
        <w:tc>
          <w:tcPr>
            <w:tcW w:type="dxa" w:w="1000"/>
            <w:tcBorders>
              <w:top w:val="single" w:color="CCCCCC" w:sz="1"/>
              <w:left w:val="single" w:color="CCCCCC" w:sz="1"/>
              <w:bottom w:val="single" w:color="CCCCCC" w:sz="1"/>
              <w:right w:val="single" w:color="CCCCCC" w:sz="1"/>
            </w:tcBorders>
            <w:shd w:fill="F0FAF6" w:val="clear"/>
            <w:tcMar>
              <w:top w:type="dxa" w:w="80"/>
              <w:left w:type="dxa" w:w="140"/>
              <w:bottom w:type="dxa" w:w="80"/>
              <w:right w:type="dxa" w:w="140"/>
            </w:tcMar>
          </w:tcPr>
          <w:p>
            <w:pPr>
              <w:jc w:val="center"/>
            </w:pPr>
            <w:r>
              <w:rPr>
                <w:rFonts w:ascii="Arial" w:cs="Arial" w:eastAsia="Arial" w:hAnsi="Arial"/>
                <w:b/>
                <w:bCs/>
                <w:i w:val="false"/>
                <w:iCs w:val="false"/>
                <w:color w:val="0F6E56"/>
                <w:sz w:val="20"/>
                <w:szCs w:val="20"/>
              </w:rPr>
              <w:t xml:space="preserve">0.575</w:t>
            </w:r>
          </w:p>
        </w:tc>
        <w:tc>
          <w:tcPr>
            <w:tcW w:type="dxa" w:w="900"/>
            <w:tcBorders>
              <w:top w:val="single" w:color="CCCCCC" w:sz="1"/>
              <w:left w:val="single" w:color="CCCCCC" w:sz="1"/>
              <w:bottom w:val="single" w:color="CCCCCC" w:sz="1"/>
              <w:right w:val="single" w:color="CCCCCC" w:sz="1"/>
            </w:tcBorders>
            <w:shd w:fill="F0FAF6"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0.941</w:t>
            </w:r>
          </w:p>
        </w:tc>
        <w:tc>
          <w:tcPr>
            <w:tcW w:type="dxa" w:w="1400"/>
            <w:tcBorders>
              <w:top w:val="single" w:color="CCCCCC" w:sz="1"/>
              <w:left w:val="single" w:color="CCCCCC" w:sz="1"/>
              <w:bottom w:val="single" w:color="CCCCCC" w:sz="1"/>
              <w:right w:val="single" w:color="CCCCCC" w:sz="1"/>
            </w:tcBorders>
            <w:shd w:fill="F0FAF6"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A — INDUSTRIEL</w:t>
            </w:r>
          </w:p>
        </w:tc>
        <w:tc>
          <w:tcPr>
            <w:tcW w:type="dxa" w:w="1100"/>
            <w:tcBorders>
              <w:top w:val="single" w:color="CCCCCC" w:sz="1"/>
              <w:left w:val="single" w:color="CCCCCC" w:sz="1"/>
              <w:bottom w:val="single" w:color="CCCCCC" w:sz="1"/>
              <w:right w:val="single" w:color="CCCCCC" w:sz="1"/>
            </w:tcBorders>
            <w:shd w:fill="F0FAF6" w:val="clear"/>
            <w:tcMar>
              <w:top w:type="dxa" w:w="80"/>
              <w:left w:type="dxa" w:w="140"/>
              <w:bottom w:type="dxa" w:w="80"/>
              <w:right w:type="dxa" w:w="140"/>
            </w:tcMar>
          </w:tcPr>
          <w:p>
            <w:pPr>
              <w:jc w:val="center"/>
            </w:pPr>
            <w:r>
              <w:rPr>
                <w:rFonts w:ascii="Arial" w:cs="Arial" w:eastAsia="Arial" w:hAnsi="Arial"/>
                <w:b/>
                <w:bCs/>
                <w:i w:val="false"/>
                <w:iCs w:val="false"/>
                <w:color w:val="0F6E56"/>
                <w:sz w:val="20"/>
                <w:szCs w:val="20"/>
              </w:rPr>
              <w:t xml:space="preserve">0 orphelin</w:t>
            </w:r>
          </w:p>
        </w:tc>
        <w:tc>
          <w:tcPr>
            <w:tcW w:type="dxa" w:w="3460"/>
            <w:tcBorders>
              <w:top w:val="single" w:color="CCCCCC" w:sz="1"/>
              <w:left w:val="single" w:color="CCCCCC" w:sz="1"/>
              <w:bottom w:val="single" w:color="CCCCCC" w:sz="1"/>
              <w:right w:val="single" w:color="CCCCCC" w:sz="1"/>
            </w:tcBorders>
            <w:shd w:fill="F0FAF6"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LPI, routes, ports, aéroports couverts. WEF manuel à intégrer.</w:t>
            </w:r>
          </w:p>
        </w:tc>
      </w:tr>
      <w:tr>
        <w:tc>
          <w:tcPr>
            <w:tcW w:type="dxa" w:w="8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PHUM</w:t>
            </w:r>
          </w:p>
        </w:tc>
        <w:tc>
          <w:tcPr>
            <w:tcW w:type="dxa" w:w="7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15</w:t>
            </w:r>
          </w:p>
        </w:tc>
        <w:tc>
          <w:tcPr>
            <w:tcW w:type="dxa" w:w="10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pPr>
              <w:jc w:val="center"/>
            </w:pPr>
            <w:r>
              <w:rPr>
                <w:rFonts w:ascii="Arial" w:cs="Arial" w:eastAsia="Arial" w:hAnsi="Arial"/>
                <w:b/>
                <w:bCs/>
                <w:i w:val="false"/>
                <w:iCs w:val="false"/>
                <w:color w:val="784212"/>
                <w:sz w:val="20"/>
                <w:szCs w:val="20"/>
              </w:rPr>
              <w:t xml:space="preserve">0.489</w:t>
            </w:r>
          </w:p>
        </w:tc>
        <w:tc>
          <w:tcPr>
            <w:tcW w:type="dxa" w:w="9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0.915</w:t>
            </w:r>
          </w:p>
        </w:tc>
        <w:tc>
          <w:tcPr>
            <w:tcW w:type="dxa" w:w="14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B — STABLE</w:t>
            </w:r>
          </w:p>
        </w:tc>
        <w:tc>
          <w:tcPr>
            <w:tcW w:type="dxa" w:w="11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pPr>
              <w:jc w:val="center"/>
            </w:pPr>
            <w:r>
              <w:rPr>
                <w:rFonts w:ascii="Arial" w:cs="Arial" w:eastAsia="Arial" w:hAnsi="Arial"/>
                <w:b/>
                <w:bCs/>
                <w:i w:val="false"/>
                <w:iCs w:val="false"/>
                <w:color w:val="0F6E56"/>
                <w:sz w:val="20"/>
                <w:szCs w:val="20"/>
              </w:rPr>
              <w:t xml:space="preserve">0 orphelin</w:t>
            </w:r>
          </w:p>
        </w:tc>
        <w:tc>
          <w:tcPr>
            <w:tcW w:type="dxa" w:w="346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WB/FAO/UNDP activés. Cohésion sociale proxy à affiner.</w:t>
            </w:r>
          </w:p>
        </w:tc>
      </w:tr>
      <w:tr>
        <w:tc>
          <w:tcPr>
            <w:tcW w:type="dxa" w:w="8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PRES</w:t>
            </w:r>
          </w:p>
        </w:tc>
        <w:tc>
          <w:tcPr>
            <w:tcW w:type="dxa" w:w="7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28</w:t>
            </w:r>
          </w:p>
        </w:tc>
        <w:tc>
          <w:tcPr>
            <w:tcW w:type="dxa" w:w="10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center"/>
            </w:pPr>
            <w:r>
              <w:rPr>
                <w:rFonts w:ascii="Arial" w:cs="Arial" w:eastAsia="Arial" w:hAnsi="Arial"/>
                <w:b/>
                <w:bCs/>
                <w:i w:val="false"/>
                <w:iCs w:val="false"/>
                <w:color w:val="784212"/>
                <w:sz w:val="20"/>
                <w:szCs w:val="20"/>
              </w:rPr>
              <w:t xml:space="preserve">0.398</w:t>
            </w:r>
          </w:p>
        </w:tc>
        <w:tc>
          <w:tcPr>
            <w:tcW w:type="dxa" w:w="9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0.941</w:t>
            </w:r>
          </w:p>
        </w:tc>
        <w:tc>
          <w:tcPr>
            <w:tcW w:type="dxa" w:w="14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A — INDUSTRIEL</w:t>
            </w:r>
          </w:p>
        </w:tc>
        <w:tc>
          <w:tcPr>
            <w:tcW w:type="dxa" w:w="11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center"/>
            </w:pPr>
            <w:r>
              <w:rPr>
                <w:rFonts w:ascii="Arial" w:cs="Arial" w:eastAsia="Arial" w:hAnsi="Arial"/>
                <w:b/>
                <w:bCs/>
                <w:i w:val="false"/>
                <w:iCs w:val="false"/>
                <w:color w:val="0F6E56"/>
                <w:sz w:val="20"/>
                <w:szCs w:val="20"/>
              </w:rPr>
              <w:t xml:space="preserve">0 orphelin</w:t>
            </w:r>
          </w:p>
        </w:tc>
        <w:tc>
          <w:tcPr>
            <w:tcW w:type="dxa" w:w="34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Énergie, eau, rentes couvertes. Interpolation AQUASTAT à coder.</w:t>
            </w:r>
          </w:p>
        </w:tc>
      </w:tr>
      <w:tr>
        <w:tc>
          <w:tcPr>
            <w:tcW w:type="dxa" w:w="8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PECO</w:t>
            </w:r>
          </w:p>
        </w:tc>
        <w:tc>
          <w:tcPr>
            <w:tcW w:type="dxa" w:w="7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21</w:t>
            </w:r>
          </w:p>
        </w:tc>
        <w:tc>
          <w:tcPr>
            <w:tcW w:type="dxa" w:w="10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pPr>
              <w:jc w:val="center"/>
            </w:pPr>
            <w:r>
              <w:rPr>
                <w:rFonts w:ascii="Arial" w:cs="Arial" w:eastAsia="Arial" w:hAnsi="Arial"/>
                <w:b/>
                <w:bCs/>
                <w:i w:val="false"/>
                <w:iCs w:val="false"/>
                <w:color w:val="784212"/>
                <w:sz w:val="20"/>
                <w:szCs w:val="20"/>
              </w:rPr>
              <w:t xml:space="preserve">0.378</w:t>
            </w:r>
          </w:p>
        </w:tc>
        <w:tc>
          <w:tcPr>
            <w:tcW w:type="dxa" w:w="9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0.943</w:t>
            </w:r>
          </w:p>
        </w:tc>
        <w:tc>
          <w:tcPr>
            <w:tcW w:type="dxa" w:w="14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A — INDUSTRIEL</w:t>
            </w:r>
          </w:p>
        </w:tc>
        <w:tc>
          <w:tcPr>
            <w:tcW w:type="dxa" w:w="11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pPr>
              <w:jc w:val="center"/>
            </w:pPr>
            <w:r>
              <w:rPr>
                <w:rFonts w:ascii="Arial" w:cs="Arial" w:eastAsia="Arial" w:hAnsi="Arial"/>
                <w:b/>
                <w:bCs/>
                <w:i w:val="false"/>
                <w:iCs w:val="false"/>
                <w:color w:val="0F6E56"/>
                <w:sz w:val="20"/>
                <w:szCs w:val="20"/>
              </w:rPr>
              <w:t xml:space="preserve">0 orphelin</w:t>
            </w:r>
          </w:p>
        </w:tc>
        <w:tc>
          <w:tcPr>
            <w:tcW w:type="dxa" w:w="346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ECO_AGR activé. 4 indicateurs CONNECTER_SOURCE restants.</w:t>
            </w:r>
          </w:p>
        </w:tc>
      </w:tr>
      <w:tr>
        <w:tc>
          <w:tcPr>
            <w:tcW w:type="dxa" w:w="8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PMIL</w:t>
            </w:r>
          </w:p>
        </w:tc>
        <w:tc>
          <w:tcPr>
            <w:tcW w:type="dxa" w:w="7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26</w:t>
            </w:r>
          </w:p>
        </w:tc>
        <w:tc>
          <w:tcPr>
            <w:tcW w:type="dxa" w:w="10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center"/>
            </w:pPr>
            <w:r>
              <w:rPr>
                <w:rFonts w:ascii="Arial" w:cs="Arial" w:eastAsia="Arial" w:hAnsi="Arial"/>
                <w:b/>
                <w:bCs/>
                <w:i w:val="false"/>
                <w:iCs w:val="false"/>
                <w:color w:val="784212"/>
                <w:sz w:val="20"/>
                <w:szCs w:val="20"/>
              </w:rPr>
              <w:t xml:space="preserve">0.371</w:t>
            </w:r>
          </w:p>
        </w:tc>
        <w:tc>
          <w:tcPr>
            <w:tcW w:type="dxa" w:w="9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0.942</w:t>
            </w:r>
          </w:p>
        </w:tc>
        <w:tc>
          <w:tcPr>
            <w:tcW w:type="dxa" w:w="14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A — INDUSTRIEL</w:t>
            </w:r>
          </w:p>
        </w:tc>
        <w:tc>
          <w:tcPr>
            <w:tcW w:type="dxa" w:w="11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center"/>
            </w:pPr>
            <w:r>
              <w:rPr>
                <w:rFonts w:ascii="Arial" w:cs="Arial" w:eastAsia="Arial" w:hAnsi="Arial"/>
                <w:b/>
                <w:bCs/>
                <w:i w:val="false"/>
                <w:iCs w:val="false"/>
                <w:color w:val="0F6E56"/>
                <w:sz w:val="20"/>
                <w:szCs w:val="20"/>
              </w:rPr>
              <w:t xml:space="preserve">0 orphelin</w:t>
            </w:r>
          </w:p>
        </w:tc>
        <w:tc>
          <w:tcPr>
            <w:tcW w:type="dxa" w:w="34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Sécurité couverte. MIL_CYB source ITU manuelle.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PNUM</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27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i w:val="false"/>
                <w:iCs w:val="false"/>
                <w:color w:val="A32D2D"/>
                <w:sz w:val="20"/>
                <w:szCs w:val="20"/>
              </w:rPr>
              <w:t xml:space="preserve">0.327</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0.965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A — INDUSTRIEL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i w:val="false"/>
                <w:iCs w:val="false"/>
                <w:color w:val="0F6E56"/>
                <w:sz w:val="20"/>
                <w:szCs w:val="20"/>
              </w:rPr>
              <w:t xml:space="preserve">0 orphelin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NUM_CYB source ITU manuelle. PNUM le plus haut max.</w:t>
            </w:r>
          </w:p>
        </w:tc>
      </w:tr>
      <w:tr>
        <w:tc>
          <w:tcPr>
            <w:tcW w:type="dxa" w:w="8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PENV</w:t>
            </w:r>
          </w:p>
        </w:tc>
        <w:tc>
          <w:tcPr>
            <w:tcW w:type="dxa" w:w="7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17</w:t>
            </w:r>
          </w:p>
        </w:tc>
        <w:tc>
          <w:tcPr>
            <w:tcW w:type="dxa" w:w="10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center"/>
            </w:pPr>
            <w:r>
              <w:rPr>
                <w:rFonts w:ascii="Arial" w:cs="Arial" w:eastAsia="Arial" w:hAnsi="Arial"/>
                <w:b/>
                <w:bCs/>
                <w:i w:val="false"/>
                <w:iCs w:val="false"/>
                <w:color w:val="784212"/>
                <w:sz w:val="20"/>
                <w:szCs w:val="20"/>
              </w:rPr>
              <w:t xml:space="preserve">0.356</w:t>
            </w:r>
          </w:p>
        </w:tc>
        <w:tc>
          <w:tcPr>
            <w:tcW w:type="dxa" w:w="9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0.388</w:t>
            </w:r>
          </w:p>
        </w:tc>
        <w:tc>
          <w:tcPr>
            <w:tcW w:type="dxa" w:w="14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C — PARTIEL</w:t>
            </w:r>
          </w:p>
        </w:tc>
        <w:tc>
          <w:tcPr>
            <w:tcW w:type="dxa" w:w="11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center"/>
            </w:pPr>
            <w:r>
              <w:rPr>
                <w:rFonts w:ascii="Arial" w:cs="Arial" w:eastAsia="Arial" w:hAnsi="Arial"/>
                <w:b/>
                <w:bCs/>
                <w:i w:val="false"/>
                <w:iCs w:val="false"/>
                <w:color w:val="0F6E56"/>
                <w:sz w:val="20"/>
                <w:szCs w:val="20"/>
              </w:rPr>
              <w:t xml:space="preserve">0 orphelin</w:t>
            </w:r>
          </w:p>
        </w:tc>
        <w:tc>
          <w:tcPr>
            <w:tcW w:type="dxa" w:w="34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Non traité en profondeur — 1 indicateur CONNECTER_SOURCE.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PMON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19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i w:val="false"/>
                <w:iCs w:val="false"/>
                <w:color w:val="A32D2D"/>
                <w:sz w:val="20"/>
                <w:szCs w:val="20"/>
              </w:rPr>
              <w:t xml:space="preserve">0.263</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0.388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C — PARTIEL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i w:val="false"/>
                <w:iCs w:val="false"/>
                <w:color w:val="0F6E56"/>
                <w:sz w:val="20"/>
                <w:szCs w:val="20"/>
              </w:rPr>
              <w:t xml:space="preserve">0 orphelin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Pilier monétaire non traité — sprint suivant.</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PGEO</w:t>
            </w:r>
          </w:p>
        </w:tc>
        <w:tc>
          <w:tcPr>
            <w:tcW w:type="dxa" w:w="7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30</w:t>
            </w:r>
          </w:p>
        </w:tc>
        <w:tc>
          <w:tcPr>
            <w:tcW w:type="dxa" w:w="1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center"/>
            </w:pPr>
            <w:r>
              <w:rPr>
                <w:rFonts w:ascii="Arial" w:cs="Arial" w:eastAsia="Arial" w:hAnsi="Arial"/>
                <w:b/>
                <w:bCs/>
                <w:i w:val="false"/>
                <w:iCs w:val="false"/>
                <w:color w:val="A32D2D"/>
                <w:sz w:val="20"/>
                <w:szCs w:val="20"/>
              </w:rPr>
              <w:t xml:space="preserve">0.187</w:t>
            </w:r>
          </w:p>
        </w:tc>
        <w:tc>
          <w:tcPr>
            <w:tcW w:type="dxa" w:w="9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0.679</w:t>
            </w:r>
          </w:p>
        </w:tc>
        <w:tc>
          <w:tcPr>
            <w:tcW w:type="dxa" w:w="1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E — CRITIQUE</w:t>
            </w:r>
          </w:p>
        </w:tc>
        <w:tc>
          <w:tcPr>
            <w:tcW w:type="dxa" w:w="11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center"/>
            </w:pPr>
            <w:r>
              <w:rPr>
                <w:rFonts w:ascii="Arial" w:cs="Arial" w:eastAsia="Arial" w:hAnsi="Arial"/>
                <w:b/>
                <w:bCs/>
                <w:i w:val="false"/>
                <w:iCs w:val="false"/>
                <w:color w:val="0F6E56"/>
                <w:sz w:val="20"/>
                <w:szCs w:val="20"/>
              </w:rPr>
              <w:t xml:space="preserve">0 orphelin</w:t>
            </w:r>
          </w:p>
        </w:tc>
        <w:tc>
          <w:tcPr>
            <w:tcW w:type="dxa" w:w="34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28 indicateurs CONNECTER_SOURCE — priorité absolue sprint 5.</w:t>
            </w:r>
          </w:p>
        </w:tc>
      </w:tr>
    </w:tbl>
    <w:p>
      <w:pPr>
        <w:spacing w:after="80" w:before="80"/>
      </w:pPr>
    </w:p>
    <w:p>
      <w:pPr>
        <w:pStyle w:val="Heading2"/>
        <w:spacing w:after="80" w:before="280"/>
      </w:pPr>
      <w:r>
        <w:rPr>
          <w:rFonts w:ascii="Arial" w:cs="Arial" w:eastAsia="Arial" w:hAnsi="Arial"/>
          <w:b/>
          <w:bCs/>
          <w:color w:val="1E3A5F"/>
          <w:sz w:val="26"/>
          <w:szCs w:val="26"/>
        </w:rPr>
        <w:t xml:space="preserve">4.4 Répartition par classe de maturité</w:t>
      </w:r>
    </w:p>
    <w:p>
      <w:pPr>
        <w:spacing w:after="80" w:before="80"/>
      </w:pPr>
      <w:r>
        <w:rPr>
          <w:rFonts w:ascii="Arial" w:cs="Arial" w:eastAsia="Arial" w:hAnsi="Arial"/>
          <w:i w:val="false"/>
          <w:iCs w:val="false"/>
          <w:color w:val="000000"/>
          <w:sz w:val="22"/>
          <w:szCs w:val="22"/>
        </w:rPr>
        <w:t xml:space="preserve">La répartition des 232 indicateurs OSA par classe de maturité a évolué comme suit entre le début et la fin de la session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80"/>
        <w:gridCol w:w="2480"/>
        <w:gridCol w:w="200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Classe</w:t>
            </w:r>
          </w:p>
        </w:tc>
        <w:tc>
          <w:tcPr>
            <w:tcW w:type="dxa" w:w="248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Définition</w:t>
            </w:r>
          </w:p>
        </w:tc>
        <w:tc>
          <w:tcPr>
            <w:tcW w:type="dxa" w:w="248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Début session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Fin session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A — INDUSTRIEL</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Sources institutionnelles, couverture complète, registre validé</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i w:val="false"/>
                <w:iCs w:val="false"/>
                <w:color w:val="784212"/>
                <w:sz w:val="20"/>
                <w:szCs w:val="20"/>
              </w:rPr>
              <w:t xml:space="preserve">30</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B — STABLE</w:t>
            </w:r>
          </w:p>
        </w:tc>
        <w:tc>
          <w:tcPr>
            <w:tcW w:type="dxa" w:w="248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Mapping actif, quelques lacunes mineures</w:t>
            </w:r>
          </w:p>
        </w:tc>
        <w:tc>
          <w:tcPr>
            <w:tcW w:type="dxa" w:w="248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w:t>
            </w:r>
          </w:p>
        </w:tc>
        <w:tc>
          <w:tcPr>
            <w:tcW w:type="dxa" w:w="2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center"/>
            </w:pPr>
            <w:r>
              <w:rPr>
                <w:rFonts w:ascii="Arial" w:cs="Arial" w:eastAsia="Arial" w:hAnsi="Arial"/>
                <w:b/>
                <w:bCs/>
                <w:i w:val="false"/>
                <w:iCs w:val="false"/>
                <w:color w:val="784212"/>
                <w:sz w:val="20"/>
                <w:szCs w:val="20"/>
              </w:rPr>
              <w:t xml:space="preserve">17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C — PARTIEL</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Mapping actif, coverage ou registre incomplet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i w:val="false"/>
                <w:iCs w:val="false"/>
                <w:color w:val="784212"/>
                <w:sz w:val="20"/>
                <w:szCs w:val="20"/>
              </w:rPr>
              <w:t xml:space="preserve">24</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D — FRAGILE</w:t>
            </w:r>
          </w:p>
        </w:tc>
        <w:tc>
          <w:tcPr>
            <w:tcW w:type="dxa" w:w="248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Mapping partiel, données fragiles</w:t>
            </w:r>
          </w:p>
        </w:tc>
        <w:tc>
          <w:tcPr>
            <w:tcW w:type="dxa" w:w="248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2</w:t>
            </w:r>
          </w:p>
        </w:tc>
        <w:tc>
          <w:tcPr>
            <w:tcW w:type="dxa" w:w="2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center"/>
            </w:pPr>
            <w:r>
              <w:rPr>
                <w:rFonts w:ascii="Arial" w:cs="Arial" w:eastAsia="Arial" w:hAnsi="Arial"/>
                <w:b/>
                <w:bCs/>
                <w:i w:val="false"/>
                <w:iCs w:val="false"/>
                <w:color w:val="784212"/>
                <w:sz w:val="20"/>
                <w:szCs w:val="20"/>
              </w:rPr>
              <w:t xml:space="preserve">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E — CRITIQUE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Mapping absent ou insuffisant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204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i w:val="false"/>
                <w:iCs w:val="false"/>
                <w:color w:val="0F6E56"/>
                <w:sz w:val="20"/>
                <w:szCs w:val="20"/>
              </w:rPr>
              <w:t xml:space="preserve">159</w:t>
            </w:r>
          </w:p>
        </w:tc>
      </w:tr>
    </w:tbl>
    <w:p>
      <w:pPr>
        <w:spacing w:after="80" w:before="80"/>
      </w:pPr>
    </w:p>
    <w:p>
      <w:pPr>
        <w:pStyle w:val="Heading1"/>
        <w:spacing w:after="120" w:before="360"/>
      </w:pPr>
      <w:r>
        <w:rPr>
          <w:rFonts w:ascii="Arial" w:cs="Arial" w:eastAsia="Arial" w:hAnsi="Arial"/>
          <w:b/>
          <w:bCs/>
          <w:color w:val="1E3A5F"/>
          <w:sz w:val="32"/>
          <w:szCs w:val="32"/>
        </w:rPr>
        <w:t xml:space="preserve">5. Sources de données intégrées</w:t>
      </w:r>
    </w:p>
    <w:p>
      <w:pPr>
        <w:spacing w:after="80" w:before="80"/>
      </w:pPr>
      <w:r>
        <w:rPr>
          <w:rFonts w:ascii="Arial" w:cs="Arial" w:eastAsia="Arial" w:hAnsi="Arial"/>
          <w:i w:val="false"/>
          <w:iCs w:val="false"/>
          <w:color w:val="000000"/>
          <w:sz w:val="22"/>
          <w:szCs w:val="22"/>
        </w:rPr>
        <w:t xml:space="preserve">La session a mobilisé 14 sources de données distinctes. Le tableau ci-dessous les recense avec leurs caractéristiques d'accès et les indicateurs OSA concernés.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200"/>
        <w:gridCol w:w="2400"/>
        <w:gridCol w:w="27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Source</w:t>
            </w:r>
          </w:p>
        </w:tc>
        <w:tc>
          <w:tcPr>
            <w:tcW w:type="dxa" w:w="1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Format</w:t>
            </w:r>
          </w:p>
        </w:tc>
        <w:tc>
          <w:tcPr>
            <w:tcW w:type="dxa" w:w="1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Accès</w:t>
            </w:r>
          </w:p>
        </w:tc>
        <w:tc>
          <w:tcPr>
            <w:tcW w:type="dxa" w:w="2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Indicateurs OSA concernés</w:t>
            </w:r>
          </w:p>
        </w:tc>
        <w:tc>
          <w:tcPr>
            <w:tcW w:type="dxa" w:w="27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URL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Banque mondiale (WB API)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555555"/>
                <w:sz w:val="20"/>
                <w:szCs w:val="20"/>
              </w:rPr>
              <w:t xml:space="preserve">API JSON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555555"/>
                <w:sz w:val="20"/>
                <w:szCs w:val="20"/>
              </w:rPr>
              <w:t xml:space="preserve">Gratuit, sans clé</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Majoritaire — 45+ indicateurs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5276"/>
                <w:sz w:val="20"/>
                <w:szCs w:val="20"/>
              </w:rPr>
              <w:t xml:space="preserve">https://api.worldbank.org/v2</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ILO / ILOSTAT</w:t>
            </w:r>
          </w:p>
        </w:tc>
        <w:tc>
          <w:tcPr>
            <w:tcW w:type="dxa" w:w="1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center"/>
            </w:pPr>
            <w:r>
              <w:rPr>
                <w:rFonts w:ascii="Arial" w:cs="Arial" w:eastAsia="Arial" w:hAnsi="Arial"/>
                <w:b w:val="false"/>
                <w:bCs w:val="false"/>
                <w:i w:val="false"/>
                <w:iCs w:val="false"/>
                <w:color w:val="555555"/>
                <w:sz w:val="20"/>
                <w:szCs w:val="20"/>
              </w:rPr>
              <w:t xml:space="preserve">API REST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center"/>
            </w:pPr>
            <w:r>
              <w:rPr>
                <w:rFonts w:ascii="Arial" w:cs="Arial" w:eastAsia="Arial" w:hAnsi="Arial"/>
                <w:b w:val="false"/>
                <w:bCs w:val="false"/>
                <w:i w:val="false"/>
                <w:iCs w:val="false"/>
                <w:color w:val="555555"/>
                <w:sz w:val="20"/>
                <w:szCs w:val="20"/>
              </w:rPr>
              <w:t xml:space="preserve">Gratuit</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ECO_UNE — via proxy WB SL.UEM.TOTL.ZS</w:t>
            </w:r>
          </w:p>
        </w:tc>
        <w:tc>
          <w:tcPr>
            <w:tcW w:type="dxa" w:w="2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1A5276"/>
                <w:sz w:val="20"/>
                <w:szCs w:val="20"/>
              </w:rPr>
              <w:t xml:space="preserve">https://ilostat.ilo.org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FAO AQUASTAT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555555"/>
                <w:sz w:val="20"/>
                <w:szCs w:val="20"/>
              </w:rPr>
              <w:t xml:space="preserve">CSV / API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555555"/>
                <w:sz w:val="20"/>
                <w:szCs w:val="20"/>
              </w:rPr>
              <w:t xml:space="preserve">Gratuit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PRES_WATER×2 — proxy WB ER.H2O.*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5276"/>
                <w:sz w:val="20"/>
                <w:szCs w:val="20"/>
              </w:rPr>
              <w:t xml:space="preserve">https://www.fao.org/aquastat</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SIPRI Milex</w:t>
            </w:r>
          </w:p>
        </w:tc>
        <w:tc>
          <w:tcPr>
            <w:tcW w:type="dxa" w:w="1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center"/>
            </w:pPr>
            <w:r>
              <w:rPr>
                <w:rFonts w:ascii="Arial" w:cs="Arial" w:eastAsia="Arial" w:hAnsi="Arial"/>
                <w:b w:val="false"/>
                <w:bCs w:val="false"/>
                <w:i w:val="false"/>
                <w:iCs w:val="false"/>
                <w:color w:val="555555"/>
                <w:sz w:val="20"/>
                <w:szCs w:val="20"/>
              </w:rPr>
              <w:t xml:space="preserve">XLSX</w:t>
            </w:r>
          </w:p>
        </w:tc>
        <w:tc>
          <w:tcPr>
            <w:tcW w:type="dxa" w:w="1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center"/>
            </w:pPr>
            <w:r>
              <w:rPr>
                <w:rFonts w:ascii="Arial" w:cs="Arial" w:eastAsia="Arial" w:hAnsi="Arial"/>
                <w:b w:val="false"/>
                <w:bCs w:val="false"/>
                <w:i w:val="false"/>
                <w:iCs w:val="false"/>
                <w:color w:val="555555"/>
                <w:sz w:val="20"/>
                <w:szCs w:val="20"/>
              </w:rPr>
              <w:t xml:space="preserve">Gratuit (téléch.)</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PMIL_DEF_BUDGET×2 — proxy WB MS.MIL.XPND.*</w:t>
            </w:r>
          </w:p>
        </w:tc>
        <w:tc>
          <w:tcPr>
            <w:tcW w:type="dxa" w:w="2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1A5276"/>
                <w:sz w:val="20"/>
                <w:szCs w:val="20"/>
              </w:rPr>
              <w:t xml:space="preserve">https://www.sipri.org/databases/milex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ITU</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555555"/>
                <w:sz w:val="20"/>
                <w:szCs w:val="20"/>
              </w:rPr>
              <w:t xml:space="preserve">XLSX manuel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555555"/>
                <w:sz w:val="20"/>
                <w:szCs w:val="20"/>
              </w:rPr>
              <w:t xml:space="preserve">Gratuit (inscr.)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PNUM_BROADBAND_FIXED, MIL_CYB, NUM_CYB</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5276"/>
                <w:sz w:val="20"/>
                <w:szCs w:val="20"/>
              </w:rPr>
              <w:t xml:space="preserve">https://www.itu.int</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IRENA</w:t>
            </w:r>
          </w:p>
        </w:tc>
        <w:tc>
          <w:tcPr>
            <w:tcW w:type="dxa" w:w="1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center"/>
            </w:pPr>
            <w:r>
              <w:rPr>
                <w:rFonts w:ascii="Arial" w:cs="Arial" w:eastAsia="Arial" w:hAnsi="Arial"/>
                <w:b w:val="false"/>
                <w:bCs w:val="false"/>
                <w:i w:val="false"/>
                <w:iCs w:val="false"/>
                <w:color w:val="555555"/>
                <w:sz w:val="20"/>
                <w:szCs w:val="20"/>
              </w:rPr>
              <w:t xml:space="preserve">XLSX / API</w:t>
            </w:r>
          </w:p>
        </w:tc>
        <w:tc>
          <w:tcPr>
            <w:tcW w:type="dxa" w:w="1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center"/>
            </w:pPr>
            <w:r>
              <w:rPr>
                <w:rFonts w:ascii="Arial" w:cs="Arial" w:eastAsia="Arial" w:hAnsi="Arial"/>
                <w:b w:val="false"/>
                <w:bCs w:val="false"/>
                <w:i w:val="false"/>
                <w:iCs w:val="false"/>
                <w:color w:val="555555"/>
                <w:sz w:val="20"/>
                <w:szCs w:val="20"/>
              </w:rPr>
              <w:t xml:space="preserve">Gratuit</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PRES_RENEW_CAP — proxy WB EG.ELC.RNEW.ZS</w:t>
            </w:r>
          </w:p>
        </w:tc>
        <w:tc>
          <w:tcPr>
            <w:tcW w:type="dxa" w:w="2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1A5276"/>
                <w:sz w:val="20"/>
                <w:szCs w:val="20"/>
              </w:rPr>
              <w:t xml:space="preserve">https://www.irena.org/Statistics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IEA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555555"/>
                <w:sz w:val="20"/>
                <w:szCs w:val="20"/>
              </w:rPr>
              <w:t xml:space="preserve">XLSX / API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555555"/>
                <w:sz w:val="20"/>
                <w:szCs w:val="20"/>
              </w:rPr>
              <w:t xml:space="preserve">Abonnement possible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PRES_RENEW_SHARE_FEC — proxy WB EG.FEC.RNEW.ZS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5276"/>
                <w:sz w:val="20"/>
                <w:szCs w:val="20"/>
              </w:rPr>
              <w:t xml:space="preserve">https://www.iea.org</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UNESCO UIS</w:t>
            </w:r>
          </w:p>
        </w:tc>
        <w:tc>
          <w:tcPr>
            <w:tcW w:type="dxa" w:w="1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center"/>
            </w:pPr>
            <w:r>
              <w:rPr>
                <w:rFonts w:ascii="Arial" w:cs="Arial" w:eastAsia="Arial" w:hAnsi="Arial"/>
                <w:b w:val="false"/>
                <w:bCs w:val="false"/>
                <w:i w:val="false"/>
                <w:iCs w:val="false"/>
                <w:color w:val="555555"/>
                <w:sz w:val="20"/>
                <w:szCs w:val="20"/>
              </w:rPr>
              <w:t xml:space="preserve">API / CSV</w:t>
            </w:r>
          </w:p>
        </w:tc>
        <w:tc>
          <w:tcPr>
            <w:tcW w:type="dxa" w:w="1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center"/>
            </w:pPr>
            <w:r>
              <w:rPr>
                <w:rFonts w:ascii="Arial" w:cs="Arial" w:eastAsia="Arial" w:hAnsi="Arial"/>
                <w:b w:val="false"/>
                <w:bCs w:val="false"/>
                <w:i w:val="false"/>
                <w:iCs w:val="false"/>
                <w:color w:val="555555"/>
                <w:sz w:val="20"/>
                <w:szCs w:val="20"/>
              </w:rPr>
              <w:t xml:space="preserve">Gratuit (clé API)</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PNUM_TERTIARY_ENROLL — proxy WB SE.TER.ENRR</w:t>
            </w:r>
          </w:p>
        </w:tc>
        <w:tc>
          <w:tcPr>
            <w:tcW w:type="dxa" w:w="2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1A5276"/>
                <w:sz w:val="20"/>
                <w:szCs w:val="20"/>
              </w:rPr>
              <w:t xml:space="preserve">https://apiportal.uis.unesco.org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WEF GCI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555555"/>
                <w:sz w:val="20"/>
                <w:szCs w:val="20"/>
              </w:rPr>
              <w:t xml:space="preserve">XLSX manuel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555555"/>
                <w:sz w:val="20"/>
                <w:szCs w:val="20"/>
              </w:rPr>
              <w:t xml:space="preserve">Gratuit (téléch.)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PTRA_RD_QUALITY — rupture 2018</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5276"/>
                <w:sz w:val="20"/>
                <w:szCs w:val="20"/>
              </w:rPr>
              <w:t xml:space="preserve">https://www.weforum.org/reports/global-competitiveness-report</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USGS MYB / MCS</w:t>
            </w:r>
          </w:p>
        </w:tc>
        <w:tc>
          <w:tcPr>
            <w:tcW w:type="dxa" w:w="1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center"/>
            </w:pPr>
            <w:r>
              <w:rPr>
                <w:rFonts w:ascii="Arial" w:cs="Arial" w:eastAsia="Arial" w:hAnsi="Arial"/>
                <w:b w:val="false"/>
                <w:bCs w:val="false"/>
                <w:i w:val="false"/>
                <w:iCs w:val="false"/>
                <w:color w:val="555555"/>
                <w:sz w:val="20"/>
                <w:szCs w:val="20"/>
              </w:rPr>
              <w:t xml:space="preserve">XLSX manuel</w:t>
            </w:r>
          </w:p>
        </w:tc>
        <w:tc>
          <w:tcPr>
            <w:tcW w:type="dxa" w:w="1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center"/>
            </w:pPr>
            <w:r>
              <w:rPr>
                <w:rFonts w:ascii="Arial" w:cs="Arial" w:eastAsia="Arial" w:hAnsi="Arial"/>
                <w:b w:val="false"/>
                <w:bCs w:val="false"/>
                <w:i w:val="false"/>
                <w:iCs w:val="false"/>
                <w:color w:val="555555"/>
                <w:sz w:val="20"/>
                <w:szCs w:val="20"/>
              </w:rPr>
              <w:t xml:space="preserve">Gratuit (téléch.)</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PMIN productions×9 — chargement manuel</w:t>
            </w:r>
          </w:p>
        </w:tc>
        <w:tc>
          <w:tcPr>
            <w:tcW w:type="dxa" w:w="2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1A5276"/>
                <w:sz w:val="20"/>
                <w:szCs w:val="20"/>
              </w:rPr>
              <w:t xml:space="preserve">https://www.usgs.gov/centers/national-minerals-information-center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EITI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555555"/>
                <w:sz w:val="20"/>
                <w:szCs w:val="20"/>
              </w:rPr>
              <w:t xml:space="preserve">CSV / API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555555"/>
                <w:sz w:val="20"/>
                <w:szCs w:val="20"/>
              </w:rPr>
              <w:t xml:space="preserve">Gratuit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PMIN extractives — certification, traçabilité</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5276"/>
                <w:sz w:val="20"/>
                <w:szCs w:val="20"/>
              </w:rPr>
              <w:t xml:space="preserve">https://eiti.org/countries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UN COMTRADE</w:t>
            </w:r>
          </w:p>
        </w:tc>
        <w:tc>
          <w:tcPr>
            <w:tcW w:type="dxa" w:w="1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center"/>
            </w:pPr>
            <w:r>
              <w:rPr>
                <w:rFonts w:ascii="Arial" w:cs="Arial" w:eastAsia="Arial" w:hAnsi="Arial"/>
                <w:b w:val="false"/>
                <w:bCs w:val="false"/>
                <w:i w:val="false"/>
                <w:iCs w:val="false"/>
                <w:color w:val="555555"/>
                <w:sz w:val="20"/>
                <w:szCs w:val="20"/>
              </w:rPr>
              <w:t xml:space="preserve">API JSON</w:t>
            </w:r>
          </w:p>
        </w:tc>
        <w:tc>
          <w:tcPr>
            <w:tcW w:type="dxa" w:w="1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center"/>
            </w:pPr>
            <w:r>
              <w:rPr>
                <w:rFonts w:ascii="Arial" w:cs="Arial" w:eastAsia="Arial" w:hAnsi="Arial"/>
                <w:b w:val="false"/>
                <w:bCs w:val="false"/>
                <w:i w:val="false"/>
                <w:iCs w:val="false"/>
                <w:color w:val="555555"/>
                <w:sz w:val="20"/>
                <w:szCs w:val="20"/>
              </w:rPr>
              <w:t xml:space="preserve">Clé API nécessaire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PMIN exportations minières×5</w:t>
            </w:r>
          </w:p>
        </w:tc>
        <w:tc>
          <w:tcPr>
            <w:tcW w:type="dxa" w:w="2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1A5276"/>
                <w:sz w:val="20"/>
                <w:szCs w:val="20"/>
              </w:rPr>
              <w:t xml:space="preserve">https://comtradeplus.un.org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UNODC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555555"/>
                <w:sz w:val="20"/>
                <w:szCs w:val="20"/>
              </w:rPr>
              <w:t xml:space="preserve">CSV / API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555555"/>
                <w:sz w:val="20"/>
                <w:szCs w:val="20"/>
              </w:rPr>
              <w:t xml:space="preserve">Gratuit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PMIL_HOMICIDE_RATE — proxy WB VC.IHR.PSRC.P5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5276"/>
                <w:sz w:val="20"/>
                <w:szCs w:val="20"/>
              </w:rPr>
              <w:t xml:space="preserve">https://dataunodc.un.org</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UNDP HDR</w:t>
            </w:r>
          </w:p>
        </w:tc>
        <w:tc>
          <w:tcPr>
            <w:tcW w:type="dxa" w:w="1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center"/>
            </w:pPr>
            <w:r>
              <w:rPr>
                <w:rFonts w:ascii="Arial" w:cs="Arial" w:eastAsia="Arial" w:hAnsi="Arial"/>
                <w:b w:val="false"/>
                <w:bCs w:val="false"/>
                <w:i w:val="false"/>
                <w:iCs w:val="false"/>
                <w:color w:val="555555"/>
                <w:sz w:val="20"/>
                <w:szCs w:val="20"/>
              </w:rPr>
              <w:t xml:space="preserve">XLSX manuel</w:t>
            </w:r>
          </w:p>
        </w:tc>
        <w:tc>
          <w:tcPr>
            <w:tcW w:type="dxa" w:w="1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center"/>
            </w:pPr>
            <w:r>
              <w:rPr>
                <w:rFonts w:ascii="Arial" w:cs="Arial" w:eastAsia="Arial" w:hAnsi="Arial"/>
                <w:b w:val="false"/>
                <w:bCs w:val="false"/>
                <w:i w:val="false"/>
                <w:iCs w:val="false"/>
                <w:color w:val="555555"/>
                <w:sz w:val="20"/>
                <w:szCs w:val="20"/>
              </w:rPr>
              <w:t xml:space="preserve">Gratuit</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PHUM_DIG, HUM_SOC, HUM_RES — proxys WB</w:t>
            </w:r>
          </w:p>
        </w:tc>
        <w:tc>
          <w:tcPr>
            <w:tcW w:type="dxa" w:w="2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1A5276"/>
                <w:sz w:val="20"/>
                <w:szCs w:val="20"/>
              </w:rPr>
              <w:t xml:space="preserve">https://hdr.undp.org</w:t>
            </w:r>
          </w:p>
        </w:tc>
      </w:tr>
    </w:tbl>
    <w:p>
      <w:pPr>
        <w:spacing w:after="80" w:before="80"/>
      </w:pPr>
    </w:p>
    <w:p>
      <w:pPr>
        <w:spacing w:after="80" w:before="80"/>
      </w:pPr>
      <w:r>
        <w:rPr>
          <w:rFonts w:ascii="Arial" w:cs="Arial" w:eastAsia="Arial" w:hAnsi="Arial"/>
          <w:i w:val="false"/>
          <w:iCs w:val="false"/>
          <w:color w:val="000000"/>
          <w:sz w:val="22"/>
          <w:szCs w:val="22"/>
        </w:rPr>
        <w:t xml:space="preserve">La Banque mondiale constitue de loin la source principale avec plus de 45 indicateurs couverts, soit directement soit comme proxy d'autres sources institutionnelles (ILO, FAO, SIPRI, ITU, IRENA, UNODC). Cette centralisation simplifie la maintenance du pipeline mais crée une dépendance vis-à-vis de l'API WB qui devra être surveillée.</w:t>
      </w:r>
    </w:p>
    <w:p>
      <w:pPr>
        <w:pStyle w:val="Heading1"/>
        <w:spacing w:after="120" w:before="360"/>
      </w:pPr>
      <w:r>
        <w:rPr>
          <w:rFonts w:ascii="Arial" w:cs="Arial" w:eastAsia="Arial" w:hAnsi="Arial"/>
          <w:b/>
          <w:bCs/>
          <w:color w:val="1E3A5F"/>
          <w:sz w:val="32"/>
          <w:szCs w:val="32"/>
        </w:rPr>
        <w:t xml:space="preserve">6. Points d'attention et risques</w:t>
      </w:r>
    </w:p>
    <w:p>
      <w:pPr>
        <w:pStyle w:val="Heading2"/>
        <w:spacing w:after="80" w:before="280"/>
      </w:pPr>
      <w:r>
        <w:rPr>
          <w:rFonts w:ascii="Arial" w:cs="Arial" w:eastAsia="Arial" w:hAnsi="Arial"/>
          <w:b/>
          <w:bCs/>
          <w:color w:val="1E3A5F"/>
          <w:sz w:val="26"/>
          <w:szCs w:val="26"/>
        </w:rPr>
        <w:t xml:space="preserve">6.1 Sources à chargement manuel (27 indicateurs)</w:t>
      </w:r>
    </w:p>
    <w:p>
      <w:pPr>
        <w:spacing w:after="80" w:before="80"/>
      </w:pPr>
      <w:r>
        <w:rPr>
          <w:rFonts w:ascii="Arial" w:cs="Arial" w:eastAsia="Arial" w:hAnsi="Arial"/>
          <w:i w:val="false"/>
          <w:iCs w:val="false"/>
          <w:color w:val="000000"/>
          <w:sz w:val="22"/>
          <w:szCs w:val="22"/>
        </w:rPr>
        <w:t xml:space="preserve">Vingt-sept indicateurs, principalement dans le pilier PMIN, sont mappés sur des sources nécessitant un téléchargement manuel régulier. Leur mapping est activé (mapping_active = 1) mais la collecte effective de données est conditionnée à l'import des fichiers sources :</w:t>
      </w:r>
    </w:p>
    <w:p>
      <w:pPr>
        <w:pStyle w:val="ListParagraph"/>
        <w:numPr>
          <w:ilvl w:val="0"/>
          <w:numId w:val="2"/>
        </w:numPr>
        <w:spacing w:after="40" w:before="40"/>
      </w:pPr>
      <w:r>
        <w:rPr>
          <w:rFonts w:ascii="Arial" w:cs="Arial" w:eastAsia="Arial" w:hAnsi="Arial"/>
          <w:sz w:val="22"/>
          <w:szCs w:val="22"/>
        </w:rPr>
        <w:t xml:space="preserve">USGS MYB/MCS (9 indicateurs de production minière) : téléchargement annuel xlsx sur usgs.gov</w:t>
      </w:r>
    </w:p>
    <w:p>
      <w:pPr>
        <w:pStyle w:val="ListParagraph"/>
        <w:numPr>
          <w:ilvl w:val="0"/>
          <w:numId w:val="2"/>
        </w:numPr>
        <w:spacing w:after="40" w:before="40"/>
      </w:pPr>
      <w:r>
        <w:rPr>
          <w:rFonts w:ascii="Arial" w:cs="Arial" w:eastAsia="Arial" w:hAnsi="Arial"/>
          <w:sz w:val="22"/>
          <w:szCs w:val="22"/>
        </w:rPr>
        <w:t xml:space="preserve">EITI (certification, traçabilité, investissements, emplois miniers) : export pays sur eiti.org/countries</w:t>
      </w:r>
    </w:p>
    <w:p>
      <w:pPr>
        <w:pStyle w:val="ListParagraph"/>
        <w:numPr>
          <w:ilvl w:val="0"/>
          <w:numId w:val="2"/>
        </w:numPr>
        <w:spacing w:after="40" w:before="40"/>
      </w:pPr>
      <w:r>
        <w:rPr>
          <w:rFonts w:ascii="Arial" w:cs="Arial" w:eastAsia="Arial" w:hAnsi="Arial"/>
          <w:sz w:val="22"/>
          <w:szCs w:val="22"/>
        </w:rPr>
        <w:t xml:space="preserve">UN COMTRADE (exportations minières×5) : clé API nécessaire sur comtradeplus.un.org</w:t>
      </w:r>
    </w:p>
    <w:p>
      <w:pPr>
        <w:pStyle w:val="ListParagraph"/>
        <w:numPr>
          <w:ilvl w:val="0"/>
          <w:numId w:val="2"/>
        </w:numPr>
        <w:spacing w:after="40" w:before="40"/>
      </w:pPr>
      <w:r>
        <w:rPr>
          <w:rFonts w:ascii="Arial" w:cs="Arial" w:eastAsia="Arial" w:hAnsi="Arial"/>
          <w:sz w:val="22"/>
          <w:szCs w:val="22"/>
        </w:rPr>
        <w:t xml:space="preserve">WEF GCI (PTRA_RD_QUALITY) : téléchargement annuel xlsx sur weforum.org</w:t>
      </w:r>
    </w:p>
    <w:p>
      <w:pPr>
        <w:pStyle w:val="ListParagraph"/>
        <w:numPr>
          <w:ilvl w:val="0"/>
          <w:numId w:val="2"/>
        </w:numPr>
        <w:spacing w:after="40" w:before="40"/>
      </w:pPr>
      <w:r>
        <w:rPr>
          <w:rFonts w:ascii="Arial" w:cs="Arial" w:eastAsia="Arial" w:hAnsi="Arial"/>
          <w:sz w:val="22"/>
          <w:szCs w:val="22"/>
        </w:rPr>
        <w:t xml:space="preserve">ITU GCI (MIL_CYB, NUM_CYB) : téléchargement xlsx sur itu.int</w:t>
      </w:r>
    </w:p>
    <w:p>
      <w:pPr>
        <w:spacing w:after="80" w:before="80"/>
      </w:pPr>
    </w:p>
    <w:p>
      <w:pPr>
        <w:spacing w:after="80" w:before="80"/>
      </w:pPr>
      <w:r>
        <w:rPr>
          <w:rFonts w:ascii="Arial" w:cs="Arial" w:eastAsia="Arial" w:hAnsi="Arial"/>
          <w:i w:val="false"/>
          <w:iCs w:val="false"/>
          <w:color w:val="000000"/>
          <w:sz w:val="22"/>
          <w:szCs w:val="22"/>
        </w:rPr>
        <w:t xml:space="preserve">Une procédure de mise à jour annuelle devra être documentée et planifiée pour ces 27 indicateurs.</w:t>
      </w:r>
    </w:p>
    <w:p>
      <w:pPr>
        <w:pStyle w:val="Heading2"/>
        <w:spacing w:after="80" w:before="280"/>
      </w:pPr>
      <w:r>
        <w:rPr>
          <w:rFonts w:ascii="Arial" w:cs="Arial" w:eastAsia="Arial" w:hAnsi="Arial"/>
          <w:b/>
          <w:bCs/>
          <w:color w:val="1E3A5F"/>
          <w:sz w:val="26"/>
          <w:szCs w:val="26"/>
        </w:rPr>
        <w:t xml:space="preserve">6.2 Proxys Banque mondiale — limites de substitution</w:t>
      </w:r>
    </w:p>
    <w:p>
      <w:pPr>
        <w:spacing w:after="80" w:before="80"/>
      </w:pPr>
      <w:r>
        <w:rPr>
          <w:rFonts w:ascii="Arial" w:cs="Arial" w:eastAsia="Arial" w:hAnsi="Arial"/>
          <w:i w:val="false"/>
          <w:iCs w:val="false"/>
          <w:color w:val="000000"/>
          <w:sz w:val="22"/>
          <w:szCs w:val="22"/>
        </w:rPr>
        <w:t xml:space="preserve">Plusieurs sources primaires étant inaccessibles par API, des proxys WB ont été utilisés. Ces substitutions sont fonctionnelles mais présentent des limites à documenter :</w:t>
      </w:r>
    </w:p>
    <w:p>
      <w:pPr>
        <w:pStyle w:val="ListParagraph"/>
        <w:numPr>
          <w:ilvl w:val="0"/>
          <w:numId w:val="2"/>
        </w:numPr>
        <w:spacing w:after="40" w:before="40"/>
      </w:pPr>
      <w:r>
        <w:rPr>
          <w:rFonts w:ascii="Arial" w:cs="Arial" w:eastAsia="Arial" w:hAnsi="Arial"/>
          <w:sz w:val="22"/>
          <w:szCs w:val="22"/>
        </w:rPr>
        <w:t xml:space="preserve">PRES_RENEW_CAP_IRENA : proxy WB EG.ELC.RNEW.ZS retourne un pourcentage de production et non des MW installés — unité différente de la définition initiale de l'indicateur</w:t>
      </w:r>
    </w:p>
    <w:p>
      <w:pPr>
        <w:pStyle w:val="ListParagraph"/>
        <w:numPr>
          <w:ilvl w:val="0"/>
          <w:numId w:val="2"/>
        </w:numPr>
        <w:spacing w:after="40" w:before="40"/>
      </w:pPr>
      <w:r>
        <w:rPr>
          <w:rFonts w:ascii="Arial" w:cs="Arial" w:eastAsia="Arial" w:hAnsi="Arial"/>
          <w:sz w:val="22"/>
          <w:szCs w:val="22"/>
        </w:rPr>
        <w:t xml:space="preserve">MIL_EXP_PCT : proxy WB MS.MIL.XPND.GD.ZS — vérifier doublon avec PMIL_DEF_BUDGET_GDP qui utilise la même source</w:t>
      </w:r>
    </w:p>
    <w:p>
      <w:pPr>
        <w:pStyle w:val="ListParagraph"/>
        <w:numPr>
          <w:ilvl w:val="0"/>
          <w:numId w:val="2"/>
        </w:numPr>
        <w:spacing w:after="40" w:before="40"/>
      </w:pPr>
      <w:r>
        <w:rPr>
          <w:rFonts w:ascii="Arial" w:cs="Arial" w:eastAsia="Arial" w:hAnsi="Arial"/>
          <w:sz w:val="22"/>
          <w:szCs w:val="22"/>
        </w:rPr>
        <w:t xml:space="preserve">PRES_WATER_FRESH et PRES_WATER_WITHDRAWAL : proxys WB à fréquence pluriannuelle irrégulière — interpolation linéaire nécessaire dans le pipeline L1→L2</w:t>
      </w:r>
    </w:p>
    <w:p>
      <w:pPr>
        <w:pStyle w:val="ListParagraph"/>
        <w:numPr>
          <w:ilvl w:val="0"/>
          <w:numId w:val="2"/>
        </w:numPr>
        <w:spacing w:after="40" w:before="40"/>
      </w:pPr>
      <w:r>
        <w:rPr>
          <w:rFonts w:ascii="Arial" w:cs="Arial" w:eastAsia="Arial" w:hAnsi="Arial"/>
          <w:sz w:val="22"/>
          <w:szCs w:val="22"/>
        </w:rPr>
        <w:t xml:space="preserve">HUM_SOC et HUM_RES : proxys WB (alphabétisation, Human Capital Index) — approximations de concepts plus larges, à affiner avec sources UNDP directes</w:t>
      </w:r>
    </w:p>
    <w:p>
      <w:pPr>
        <w:pStyle w:val="Heading2"/>
        <w:spacing w:after="80" w:before="280"/>
      </w:pPr>
      <w:r>
        <w:rPr>
          <w:rFonts w:ascii="Arial" w:cs="Arial" w:eastAsia="Arial" w:hAnsi="Arial"/>
          <w:b/>
          <w:bCs/>
          <w:color w:val="1E3A5F"/>
          <w:sz w:val="26"/>
          <w:szCs w:val="26"/>
        </w:rPr>
        <w:t xml:space="preserve">6.3 Rupture de série WEF GCI (PTRA_RD_QUALITY)</w:t>
      </w:r>
    </w:p>
    <w:p>
      <w:pPr>
        <w:spacing w:after="80" w:before="80"/>
      </w:pPr>
      <w:r>
        <w:rPr>
          <w:rFonts w:ascii="Arial" w:cs="Arial" w:eastAsia="Arial" w:hAnsi="Arial"/>
          <w:i w:val="false"/>
          <w:iCs w:val="false"/>
          <w:color w:val="000000"/>
          <w:sz w:val="22"/>
          <w:szCs w:val="22"/>
        </w:rPr>
        <w:t xml:space="preserve">L'indicateur de qualité des routes (WEF Global Competitiveness Index) présente une rupture méthodologique en 2018 entre GCI3 et GCI4. Les deux séries ne sont pas directement comparables. Une note de métadonnées doit être créée dans le registre OSA avant toute intégration dans le calcul L3, sous peine de biais dans les scores PTRA pour les séries historiques.</w:t>
      </w:r>
    </w:p>
    <w:p>
      <w:pPr>
        <w:pStyle w:val="Heading2"/>
        <w:spacing w:after="80" w:before="280"/>
      </w:pPr>
      <w:r>
        <w:rPr>
          <w:rFonts w:ascii="Arial" w:cs="Arial" w:eastAsia="Arial" w:hAnsi="Arial"/>
          <w:b/>
          <w:bCs/>
          <w:color w:val="1E3A5F"/>
          <w:sz w:val="26"/>
          <w:szCs w:val="26"/>
        </w:rPr>
        <w:t xml:space="preserve">6.4 Statut ISA des indicateurs activés</w:t>
      </w:r>
    </w:p>
    <w:p>
      <w:pPr>
        <w:spacing w:after="80" w:before="80"/>
      </w:pPr>
      <w:r>
        <w:rPr>
          <w:rFonts w:ascii="Arial" w:cs="Arial" w:eastAsia="Arial" w:hAnsi="Arial"/>
          <w:i w:val="false"/>
          <w:iCs w:val="false"/>
          <w:color w:val="000000"/>
          <w:sz w:val="22"/>
          <w:szCs w:val="22"/>
        </w:rPr>
        <w:t xml:space="preserve">Les 83 indicateurs activés restent marqués EXCLU ISA dans le registre. Ce statut est un artefact de l'absence initiale de mapping et ne reflète pas une décision métier d'exclusion. Une révision systématique du statut ISA de chaque indicateur activé doit être planifiée avant la prochaine exécution du pipeline ISA, sous peine de ne pas voir les scores évoluer malgré les mappings actifs.</w:t>
      </w:r>
    </w:p>
    <w:p>
      <w:pPr>
        <w:pStyle w:val="Heading2"/>
        <w:spacing w:after="80" w:before="280"/>
      </w:pPr>
      <w:r>
        <w:rPr>
          <w:rFonts w:ascii="Arial" w:cs="Arial" w:eastAsia="Arial" w:hAnsi="Arial"/>
          <w:b/>
          <w:bCs/>
          <w:color w:val="1E3A5F"/>
          <w:sz w:val="26"/>
          <w:szCs w:val="26"/>
        </w:rPr>
        <w:t xml:space="preserve">6.5 Doublons potentiels PMIL</w:t>
      </w:r>
    </w:p>
    <w:p>
      <w:pPr>
        <w:spacing w:after="80" w:before="80"/>
      </w:pPr>
      <w:r>
        <w:rPr>
          <w:rFonts w:ascii="Arial" w:cs="Arial" w:eastAsia="Arial" w:hAnsi="Arial"/>
          <w:i w:val="false"/>
          <w:iCs w:val="false"/>
          <w:color w:val="000000"/>
          <w:sz w:val="22"/>
          <w:szCs w:val="22"/>
        </w:rPr>
        <w:t xml:space="preserve">MIL_EXP_PCT (dépenses militaires % PIB) et PMIL_DEF_BUDGET_GDP utilisent la même source WB (MS.MIL.XPND.GD.ZS). Ces deux indicateurs sont probablement redondants. Une décision de fusion ou de différenciation doit être prise avant l'intégration dans le calcul du pilier PMIL pour éviter une double pondération.</w:t>
      </w:r>
    </w:p>
    <w:p>
      <w:pPr>
        <w:pStyle w:val="Heading1"/>
        <w:spacing w:after="120" w:before="360"/>
      </w:pPr>
      <w:r>
        <w:rPr>
          <w:rFonts w:ascii="Arial" w:cs="Arial" w:eastAsia="Arial" w:hAnsi="Arial"/>
          <w:b/>
          <w:bCs/>
          <w:color w:val="1E3A5F"/>
          <w:sz w:val="32"/>
          <w:szCs w:val="32"/>
        </w:rPr>
        <w:t xml:space="preserve">7. Chantier prioritaire — Sprint 5</w:t>
      </w:r>
    </w:p>
    <w:p>
      <w:pPr>
        <w:pStyle w:val="Heading2"/>
        <w:spacing w:after="80" w:before="280"/>
      </w:pPr>
      <w:r>
        <w:rPr>
          <w:rFonts w:ascii="Arial" w:cs="Arial" w:eastAsia="Arial" w:hAnsi="Arial"/>
          <w:b/>
          <w:bCs/>
          <w:color w:val="1E3A5F"/>
          <w:sz w:val="26"/>
          <w:szCs w:val="26"/>
        </w:rPr>
        <w:t xml:space="preserve">7.1 Vue d'ensemble des actions recommandées</w:t>
      </w:r>
    </w:p>
    <w:p>
      <w:pPr>
        <w:spacing w:after="80" w:before="80"/>
      </w:pPr>
      <w:r>
        <w:rPr>
          <w:rFonts w:ascii="Arial" w:cs="Arial" w:eastAsia="Arial" w:hAnsi="Arial"/>
          <w:i w:val="false"/>
          <w:iCs w:val="false"/>
          <w:color w:val="000000"/>
          <w:sz w:val="22"/>
          <w:szCs w:val="22"/>
        </w:rPr>
        <w:t xml:space="preserve">La vue ma.v_mapping_maturity identifie 232 indicateurs répartis en 3 catégories d'action :</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600"/>
        <w:gridCol w:w="3000"/>
        <w:gridCol w:w="37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Action recommandée</w:t>
            </w:r>
          </w:p>
        </w:tc>
        <w:tc>
          <w:tcPr>
            <w:tcW w:type="dxa" w:w="6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Nb</w:t>
            </w:r>
          </w:p>
        </w:tc>
        <w:tc>
          <w:tcPr>
            <w:tcW w:type="dxa" w:w="3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Signification</w:t>
            </w:r>
          </w:p>
        </w:tc>
        <w:tc>
          <w:tcPr>
            <w:tcW w:type="dxa" w:w="37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Traitement recommandé</w:t>
            </w:r>
          </w:p>
        </w:tc>
      </w:tr>
      <w:tr>
        <w:tc>
          <w:tcPr>
            <w:tcW w:type="dxa" w:w="20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bCs/>
                <w:i w:val="false"/>
                <w:iCs w:val="false"/>
                <w:color w:val="0F6E56"/>
                <w:sz w:val="20"/>
                <w:szCs w:val="20"/>
              </w:rPr>
              <w:t xml:space="preserve">OK</w:t>
            </w:r>
          </w:p>
        </w:tc>
        <w:tc>
          <w:tcPr>
            <w:tcW w:type="dxa" w:w="6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center"/>
            </w:pPr>
            <w:r>
              <w:rPr>
                <w:rFonts w:ascii="Arial" w:cs="Arial" w:eastAsia="Arial" w:hAnsi="Arial"/>
                <w:b/>
                <w:bCs/>
                <w:i w:val="false"/>
                <w:iCs w:val="false"/>
                <w:color w:val="0F6E56"/>
                <w:sz w:val="20"/>
                <w:szCs w:val="20"/>
              </w:rPr>
              <w:t xml:space="preserve">49</w:t>
            </w:r>
          </w:p>
        </w:tc>
        <w:tc>
          <w:tcPr>
            <w:tcW w:type="dxa" w:w="30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0F6E56</w:t>
            </w:r>
          </w:p>
        </w:tc>
        <w:tc>
          <w:tcPr>
            <w:tcW w:type="dxa" w:w="376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Mapping actif, registre complet, données disponibles.</w:t>
            </w:r>
          </w:p>
        </w:tc>
      </w:tr>
      <w:tr>
        <w:tc>
          <w:tcPr>
            <w:tcW w:type="dxa" w:w="20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pPr>
              <w:jc w:val="left"/>
            </w:pPr>
            <w:r>
              <w:rPr>
                <w:rFonts w:ascii="Arial" w:cs="Arial" w:eastAsia="Arial" w:hAnsi="Arial"/>
                <w:b/>
                <w:bCs/>
                <w:i w:val="false"/>
                <w:iCs w:val="false"/>
                <w:color w:val="784212"/>
                <w:sz w:val="20"/>
                <w:szCs w:val="20"/>
              </w:rPr>
              <w:t xml:space="preserve">COMPLETER_REGISTRY</w:t>
            </w:r>
          </w:p>
        </w:tc>
        <w:tc>
          <w:tcPr>
            <w:tcW w:type="dxa" w:w="6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pPr>
              <w:jc w:val="center"/>
            </w:pPr>
            <w:r>
              <w:rPr>
                <w:rFonts w:ascii="Arial" w:cs="Arial" w:eastAsia="Arial" w:hAnsi="Arial"/>
                <w:b/>
                <w:bCs/>
                <w:i w:val="false"/>
                <w:iCs w:val="false"/>
                <w:color w:val="784212"/>
                <w:sz w:val="20"/>
                <w:szCs w:val="20"/>
              </w:rPr>
              <w:t xml:space="preserve">84</w:t>
            </w:r>
          </w:p>
        </w:tc>
        <w:tc>
          <w:tcPr>
            <w:tcW w:type="dxa" w:w="30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784212</w:t>
            </w:r>
          </w:p>
        </w:tc>
        <w:tc>
          <w:tcPr>
            <w:tcW w:type="dxa" w:w="376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Fournisseur identifié, mapping existant, mais coverage_score ou registry_score = 0.</w:t>
            </w:r>
          </w:p>
        </w:tc>
      </w:tr>
      <w:tr>
        <w:tc>
          <w:tcPr>
            <w:tcW w:type="dxa" w:w="2000"/>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tcPr>
          <w:p>
            <w:pPr>
              <w:jc w:val="left"/>
            </w:pPr>
            <w:r>
              <w:rPr>
                <w:rFonts w:ascii="Arial" w:cs="Arial" w:eastAsia="Arial" w:hAnsi="Arial"/>
                <w:b/>
                <w:bCs/>
                <w:i w:val="false"/>
                <w:iCs w:val="false"/>
                <w:color w:val="A32D2D"/>
                <w:sz w:val="20"/>
                <w:szCs w:val="20"/>
              </w:rPr>
              <w:t xml:space="preserve">CONNECTER_SOURCE</w:t>
            </w:r>
          </w:p>
        </w:tc>
        <w:tc>
          <w:tcPr>
            <w:tcW w:type="dxa" w:w="600"/>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tcPr>
          <w:p>
            <w:pPr>
              <w:jc w:val="center"/>
            </w:pPr>
            <w:r>
              <w:rPr>
                <w:rFonts w:ascii="Arial" w:cs="Arial" w:eastAsia="Arial" w:hAnsi="Arial"/>
                <w:b/>
                <w:bCs/>
                <w:i w:val="false"/>
                <w:iCs w:val="false"/>
                <w:color w:val="A32D2D"/>
                <w:sz w:val="20"/>
                <w:szCs w:val="20"/>
              </w:rPr>
              <w:t xml:space="preserve">99</w:t>
            </w:r>
          </w:p>
        </w:tc>
        <w:tc>
          <w:tcPr>
            <w:tcW w:type="dxa" w:w="3000"/>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A32D2D</w:t>
            </w:r>
          </w:p>
        </w:tc>
        <w:tc>
          <w:tcPr>
            <w:tcW w:type="dxa" w:w="3760"/>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Indicateur défini dans le référentiel ISA mais sans fournisseur de données identifié.</w:t>
            </w:r>
          </w:p>
        </w:tc>
      </w:tr>
      <w:tr>
        <w:tc>
          <w:tcPr>
            <w:tcW w:type="dxa" w:w="20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bCs/>
                <w:i w:val="false"/>
                <w:iCs w:val="false"/>
                <w:color w:val="0F6E56"/>
                <w:sz w:val="20"/>
                <w:szCs w:val="20"/>
              </w:rPr>
              <w:t xml:space="preserve">CORRIGER_MAPPING</w:t>
            </w:r>
          </w:p>
        </w:tc>
        <w:tc>
          <w:tcPr>
            <w:tcW w:type="dxa" w:w="6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center"/>
            </w:pPr>
            <w:r>
              <w:rPr>
                <w:rFonts w:ascii="Arial" w:cs="Arial" w:eastAsia="Arial" w:hAnsi="Arial"/>
                <w:b/>
                <w:bCs/>
                <w:i w:val="false"/>
                <w:iCs w:val="false"/>
                <w:color w:val="0F6E56"/>
                <w:sz w:val="20"/>
                <w:szCs w:val="20"/>
              </w:rPr>
              <w:t xml:space="preserve">0</w:t>
            </w:r>
          </w:p>
        </w:tc>
        <w:tc>
          <w:tcPr>
            <w:tcW w:type="dxa" w:w="30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0F6E56</w:t>
            </w:r>
          </w:p>
        </w:tc>
        <w:tc>
          <w:tcPr>
            <w:tcW w:type="dxa" w:w="376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val="false"/>
                <w:bCs w:val="false"/>
                <w:i w:val="false"/>
                <w:iCs w:val="false"/>
                <w:color w:val="000000"/>
                <w:sz w:val="20"/>
                <w:szCs w:val="20"/>
              </w:rPr>
              <w:t xml:space="preserve">Mapping existant mais qualité insuffisante — clé ou endpoint erroné.</w:t>
            </w:r>
          </w:p>
        </w:tc>
      </w:tr>
    </w:tbl>
    <w:p>
      <w:pPr>
        <w:spacing w:after="80" w:before="80"/>
      </w:pPr>
    </w:p>
    <w:p>
      <w:pPr>
        <w:pStyle w:val="Heading2"/>
        <w:spacing w:after="80" w:before="280"/>
      </w:pPr>
      <w:r>
        <w:rPr>
          <w:rFonts w:ascii="Arial" w:cs="Arial" w:eastAsia="Arial" w:hAnsi="Arial"/>
          <w:b/>
          <w:bCs/>
          <w:color w:val="1E3A5F"/>
          <w:sz w:val="26"/>
          <w:szCs w:val="26"/>
        </w:rPr>
        <w:t xml:space="preserve">7.2 Priorité absolue : pilier PGEO (28 indicateurs CONNECTER_SOURCE)</w:t>
      </w:r>
    </w:p>
    <w:p>
      <w:pPr>
        <w:spacing w:after="80" w:before="80"/>
      </w:pPr>
      <w:r>
        <w:rPr>
          <w:rFonts w:ascii="Arial" w:cs="Arial" w:eastAsia="Arial" w:hAnsi="Arial"/>
          <w:i w:val="false"/>
          <w:iCs w:val="false"/>
          <w:color w:val="000000"/>
          <w:sz w:val="22"/>
          <w:szCs w:val="22"/>
        </w:rPr>
        <w:t xml:space="preserve">Le pilier PGEO est le plus déficient avec un score de maturité moyen de 0.187 et 28 indicateurs sur 30 sans fournisseur identifié. C'est le seul pilier où aucune vague d'activation n'a pu être appliquée, faute de sources disponibles. Le tableau ci-dessous analyse chaque indicateur et sa source candidate.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200"/>
        <w:gridCol w:w="2000"/>
        <w:gridCol w:w="21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Indicateur</w:t>
            </w:r>
          </w:p>
        </w:tc>
        <w:tc>
          <w:tcPr>
            <w:tcW w:type="dxa" w:w="1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Thème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Source candidate</w:t>
            </w:r>
          </w:p>
        </w:tc>
        <w:tc>
          <w:tcPr>
            <w:tcW w:type="dxa" w:w="21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Faisabilité</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GEO_DIP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Diplomatie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Influence diplomatique — alliances, organisations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5276"/>
                <w:sz w:val="20"/>
                <w:szCs w:val="20"/>
              </w:rPr>
              <w:t xml:space="preserve">Lowy Institute / AidData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784212"/>
                <w:sz w:val="20"/>
                <w:szCs w:val="20"/>
              </w:rPr>
              <w:t xml:space="preserve">Aucune API — scraping/manuel</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GEO_POW</w:t>
            </w:r>
          </w:p>
        </w:tc>
        <w:tc>
          <w:tcPr>
            <w:tcW w:type="dxa" w:w="1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Puissance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Indice de puissance relative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1A5276"/>
                <w:sz w:val="20"/>
                <w:szCs w:val="20"/>
              </w:rPr>
              <w:t xml:space="preserve">IISS / Lowy / GFP</w:t>
            </w:r>
          </w:p>
        </w:tc>
        <w:tc>
          <w:tcPr>
            <w:tcW w:type="dxa" w:w="2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i/>
                <w:iCs/>
                <w:color w:val="784212"/>
                <w:sz w:val="20"/>
                <w:szCs w:val="20"/>
              </w:rPr>
              <w:t xml:space="preserve">Composite à construire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GEO_SOF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Soft power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Influence culturelle et soft power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5276"/>
                <w:sz w:val="20"/>
                <w:szCs w:val="20"/>
              </w:rPr>
              <w:t xml:space="preserve">Brand Finance / Monocle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A32D2D"/>
                <w:sz w:val="20"/>
                <w:szCs w:val="20"/>
              </w:rPr>
              <w:t xml:space="preserve">Source payante ou manuelle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GEO_NET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Réseaux</w:t>
            </w:r>
          </w:p>
        </w:tc>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Densité des réseaux diplomatiques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1A5276"/>
                <w:sz w:val="20"/>
                <w:szCs w:val="20"/>
              </w:rPr>
              <w:t xml:space="preserve">UN Treaty Collection</w:t>
            </w:r>
          </w:p>
        </w:tc>
        <w:tc>
          <w:tcPr>
            <w:tcW w:type="dxa" w:w="2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i/>
                <w:iCs/>
                <w:color w:val="784212"/>
                <w:sz w:val="20"/>
                <w:szCs w:val="20"/>
              </w:rPr>
              <w:t xml:space="preserve">Parsing traités ONU</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GEO_ORG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Organisations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Membership organisations régionales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5276"/>
                <w:sz w:val="20"/>
                <w:szCs w:val="20"/>
              </w:rPr>
              <w:t xml:space="preserve">UA / CEDEAO / SADC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784212"/>
                <w:sz w:val="20"/>
                <w:szCs w:val="20"/>
              </w:rPr>
              <w:t xml:space="preserve">Sources institutionnelles africaines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GEO_MIG</w:t>
            </w:r>
          </w:p>
        </w:tc>
        <w:tc>
          <w:tcPr>
            <w:tcW w:type="dxa" w:w="1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Migrations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Flux migratoires et diaspora</w:t>
            </w:r>
          </w:p>
        </w:tc>
        <w:tc>
          <w:tcPr>
            <w:tcW w:type="dxa" w:w="2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1A5276"/>
                <w:sz w:val="20"/>
                <w:szCs w:val="20"/>
              </w:rPr>
              <w:t xml:space="preserve">UNHCR / IOM / WB</w:t>
            </w:r>
          </w:p>
        </w:tc>
        <w:tc>
          <w:tcPr>
            <w:tcW w:type="dxa" w:w="2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i/>
                <w:iCs/>
                <w:color w:val="0F6E56"/>
                <w:sz w:val="20"/>
                <w:szCs w:val="20"/>
              </w:rPr>
              <w:t xml:space="preserve">WB SM.POP.NETM — proxy viable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GEO_CUL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Culture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Influence culturelle transfrontalière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5276"/>
                <w:sz w:val="20"/>
                <w:szCs w:val="20"/>
              </w:rPr>
              <w:t xml:space="preserve">UNESCO / Soft power index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784212"/>
                <w:sz w:val="20"/>
                <w:szCs w:val="20"/>
              </w:rPr>
              <w:t xml:space="preserve">Partiel UNESCO</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GEO_TRD</w:t>
            </w:r>
          </w:p>
        </w:tc>
        <w:tc>
          <w:tcPr>
            <w:tcW w:type="dxa" w:w="1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Commerce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Part dans le commerce régional africain</w:t>
            </w:r>
          </w:p>
        </w:tc>
        <w:tc>
          <w:tcPr>
            <w:tcW w:type="dxa" w:w="2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1A5276"/>
                <w:sz w:val="20"/>
                <w:szCs w:val="20"/>
              </w:rPr>
              <w:t xml:space="preserve">UN COMTRADE / AfCFTA</w:t>
            </w:r>
          </w:p>
        </w:tc>
        <w:tc>
          <w:tcPr>
            <w:tcW w:type="dxa" w:w="2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i/>
                <w:iCs/>
                <w:color w:val="784212"/>
                <w:sz w:val="20"/>
                <w:szCs w:val="20"/>
              </w:rPr>
              <w:t xml:space="preserve">COMTRADE — clé API requise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GEO_ALL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Alliances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Score d'alliance militaire et politique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5276"/>
                <w:sz w:val="20"/>
                <w:szCs w:val="20"/>
              </w:rPr>
              <w:t xml:space="preserve">ATOP / SIPRI</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A32D2D"/>
                <w:sz w:val="20"/>
                <w:szCs w:val="20"/>
              </w:rPr>
              <w:t xml:space="preserve">Base ATOP — accès académique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GEO_CON</w:t>
            </w:r>
          </w:p>
        </w:tc>
        <w:tc>
          <w:tcPr>
            <w:tcW w:type="dxa" w:w="1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Conflits voisins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Conflits aux frontières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1A5276"/>
                <w:sz w:val="20"/>
                <w:szCs w:val="20"/>
              </w:rPr>
              <w:t xml:space="preserve">ACLED</w:t>
            </w:r>
          </w:p>
        </w:tc>
        <w:tc>
          <w:tcPr>
            <w:tcW w:type="dxa" w:w="2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i/>
                <w:iCs/>
                <w:color w:val="784212"/>
                <w:sz w:val="20"/>
                <w:szCs w:val="20"/>
              </w:rPr>
              <w:t xml:space="preserve">Déjà intégré — mapping à lier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GEO_RES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Ressources partagées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Ressources naturelles transfrontalières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5276"/>
                <w:sz w:val="20"/>
                <w:szCs w:val="20"/>
              </w:rPr>
              <w:t xml:space="preserve">FAO / UNEP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784212"/>
                <w:sz w:val="20"/>
                <w:szCs w:val="20"/>
              </w:rPr>
              <w:t xml:space="preserve">Partiel FAO</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GEO_SAN</w:t>
            </w:r>
          </w:p>
        </w:tc>
        <w:tc>
          <w:tcPr>
            <w:tcW w:type="dxa" w:w="1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Sanctions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Régimes de sanctions subies/imposées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1A5276"/>
                <w:sz w:val="20"/>
                <w:szCs w:val="20"/>
              </w:rPr>
              <w:t xml:space="preserve">UN Sanctions / OFAC</w:t>
            </w:r>
          </w:p>
        </w:tc>
        <w:tc>
          <w:tcPr>
            <w:tcW w:type="dxa" w:w="2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i/>
                <w:iCs/>
                <w:color w:val="0F6E56"/>
                <w:sz w:val="20"/>
                <w:szCs w:val="20"/>
              </w:rPr>
              <w:t xml:space="preserve">API UN disponible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GEO_TER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Terrorisme voisin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Spillover terrorisme régional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5276"/>
                <w:sz w:val="20"/>
                <w:szCs w:val="20"/>
              </w:rPr>
              <w:t xml:space="preserve">GTI / ACLED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784212"/>
                <w:sz w:val="20"/>
                <w:szCs w:val="20"/>
              </w:rPr>
              <w:t xml:space="preserve">ACLED déjà intégré — à étendre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PGEO_MINE_COUNT/COORD</w:t>
            </w:r>
          </w:p>
        </w:tc>
        <w:tc>
          <w:tcPr>
            <w:tcW w:type="dxa" w:w="1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center"/>
            </w:pPr>
            <w:r>
              <w:rPr>
                <w:rFonts w:ascii="Arial" w:cs="Arial" w:eastAsia="Arial" w:hAnsi="Arial"/>
                <w:b w:val="false"/>
                <w:bCs w:val="false"/>
                <w:i w:val="false"/>
                <w:iCs w:val="false"/>
                <w:color w:val="000000"/>
                <w:sz w:val="20"/>
                <w:szCs w:val="20"/>
              </w:rPr>
              <w:t xml:space="preserve">Sites miniers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Géolocalisation sites miniers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1A5276"/>
                <w:sz w:val="20"/>
                <w:szCs w:val="20"/>
              </w:rPr>
              <w:t xml:space="preserve">SNL / S&amp;P Global / OSA</w:t>
            </w:r>
          </w:p>
        </w:tc>
        <w:tc>
          <w:tcPr>
            <w:tcW w:type="dxa" w:w="2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i/>
                <w:iCs/>
                <w:color w:val="784212"/>
                <w:sz w:val="20"/>
                <w:szCs w:val="20"/>
              </w:rPr>
              <w:t xml:space="preserve">Données propriétaires ou OSA interne</w:t>
            </w:r>
          </w:p>
        </w:tc>
      </w:tr>
    </w:tbl>
    <w:p>
      <w:pPr>
        <w:spacing w:after="80" w:before="80"/>
      </w:pPr>
    </w:p>
    <w:p>
      <w:pPr>
        <w:spacing w:after="80" w:before="80"/>
      </w:pPr>
      <w:r>
        <w:rPr>
          <w:rFonts w:ascii="Arial" w:cs="Arial" w:eastAsia="Arial" w:hAnsi="Arial"/>
          <w:i w:val="false"/>
          <w:iCs w:val="false"/>
          <w:color w:val="000000"/>
          <w:sz w:val="22"/>
          <w:szCs w:val="22"/>
        </w:rPr>
        <w:t xml:space="preserve">Les indicateurs PGEO se répartissent en trois catégories de faisabilité. Les sources WB et ACLED (déjà intégrés dans le pipeline OSA) permettent d'activer rapidement GEO_MIG, GEO_CON, GEO_TER et GEO_SAN. Les sources institutionnelles africaines (UA, CEDEAO, SADC) permettent d'aborder GEO_ORG. Les indicateurs de puissance et de soft power (GEO_POW, GEO_SOF, GEO_DIP, GEO_NET) nécessitent soit des sources payantes, soit la construction de composites à partir de données parcellaires — c'est le travail le plus complexe du sprint 5.</w:t>
      </w:r>
    </w:p>
    <w:p>
      <w:pPr>
        <w:pStyle w:val="Heading2"/>
        <w:spacing w:after="80" w:before="280"/>
      </w:pPr>
      <w:r>
        <w:rPr>
          <w:rFonts w:ascii="Arial" w:cs="Arial" w:eastAsia="Arial" w:hAnsi="Arial"/>
          <w:b/>
          <w:bCs/>
          <w:color w:val="1E3A5F"/>
          <w:sz w:val="26"/>
          <w:szCs w:val="26"/>
        </w:rPr>
        <w:t xml:space="preserve">7.3 Autres actions prioritaires</w:t>
      </w:r>
    </w:p>
    <w:p>
      <w:pPr>
        <w:pStyle w:val="ListParagraph"/>
        <w:numPr>
          <w:ilvl w:val="0"/>
          <w:numId w:val="2"/>
        </w:numPr>
        <w:spacing w:after="40" w:before="40"/>
      </w:pPr>
      <w:r>
        <w:rPr>
          <w:rFonts w:ascii="Arial" w:cs="Arial" w:eastAsia="Arial" w:hAnsi="Arial"/>
          <w:sz w:val="22"/>
          <w:szCs w:val="22"/>
        </w:rPr>
        <w:t xml:space="preserve">Requalifier le statut ISA des 83 indicateurs activés (actuellement EXCLU ISA par défaut)</w:t>
      </w:r>
    </w:p>
    <w:p>
      <w:pPr>
        <w:pStyle w:val="ListParagraph"/>
        <w:numPr>
          <w:ilvl w:val="0"/>
          <w:numId w:val="2"/>
        </w:numPr>
        <w:spacing w:after="40" w:before="40"/>
      </w:pPr>
      <w:r>
        <w:rPr>
          <w:rFonts w:ascii="Arial" w:cs="Arial" w:eastAsia="Arial" w:hAnsi="Arial"/>
          <w:sz w:val="22"/>
          <w:szCs w:val="22"/>
        </w:rPr>
        <w:t xml:space="preserve">Lancer le pipeline ISA complet (L1→L2→L3) pour recalculer les scores pays 2010-2024</w:t>
      </w:r>
    </w:p>
    <w:p>
      <w:pPr>
        <w:pStyle w:val="ListParagraph"/>
        <w:numPr>
          <w:ilvl w:val="0"/>
          <w:numId w:val="2"/>
        </w:numPr>
        <w:spacing w:after="40" w:before="40"/>
      </w:pPr>
      <w:r>
        <w:rPr>
          <w:rFonts w:ascii="Arial" w:cs="Arial" w:eastAsia="Arial" w:hAnsi="Arial"/>
          <w:sz w:val="22"/>
          <w:szCs w:val="22"/>
        </w:rPr>
        <w:t xml:space="preserve">Résoudre les 4 indicateurs PMIN à nature UNCLASSIFIED (MIN_EXP, MIN_GOV, MIN_TAX, MIN_VAL)</w:t>
      </w:r>
    </w:p>
    <w:p>
      <w:pPr>
        <w:pStyle w:val="ListParagraph"/>
        <w:numPr>
          <w:ilvl w:val="0"/>
          <w:numId w:val="2"/>
        </w:numPr>
        <w:spacing w:after="40" w:before="40"/>
      </w:pPr>
      <w:r>
        <w:rPr>
          <w:rFonts w:ascii="Arial" w:cs="Arial" w:eastAsia="Arial" w:hAnsi="Arial"/>
          <w:sz w:val="22"/>
          <w:szCs w:val="22"/>
        </w:rPr>
        <w:t xml:space="preserve">Implémenter la logique d'interpolation AQUASTAT dans le pipeline L1→L2</w:t>
      </w:r>
    </w:p>
    <w:p>
      <w:pPr>
        <w:pStyle w:val="ListParagraph"/>
        <w:numPr>
          <w:ilvl w:val="0"/>
          <w:numId w:val="2"/>
        </w:numPr>
        <w:spacing w:after="40" w:before="40"/>
      </w:pPr>
      <w:r>
        <w:rPr>
          <w:rFonts w:ascii="Arial" w:cs="Arial" w:eastAsia="Arial" w:hAnsi="Arial"/>
          <w:sz w:val="22"/>
          <w:szCs w:val="22"/>
        </w:rPr>
        <w:t xml:space="preserve">Créer la note de rupture WEF GCI3/GCI4 dans les métadonnées de PTRA_RD_QUALITY</w:t>
      </w:r>
    </w:p>
    <w:p>
      <w:pPr>
        <w:pStyle w:val="ListParagraph"/>
        <w:numPr>
          <w:ilvl w:val="0"/>
          <w:numId w:val="2"/>
        </w:numPr>
        <w:spacing w:after="40" w:before="40"/>
      </w:pPr>
      <w:r>
        <w:rPr>
          <w:rFonts w:ascii="Arial" w:cs="Arial" w:eastAsia="Arial" w:hAnsi="Arial"/>
          <w:sz w:val="22"/>
          <w:szCs w:val="22"/>
        </w:rPr>
        <w:t xml:space="preserve">Planifier la procédure de chargement annuel des 27 sources manuelles</w:t>
      </w:r>
    </w:p>
    <w:p>
      <w:pPr>
        <w:pStyle w:val="ListParagraph"/>
        <w:numPr>
          <w:ilvl w:val="0"/>
          <w:numId w:val="2"/>
        </w:numPr>
        <w:spacing w:after="40" w:before="40"/>
      </w:pPr>
      <w:r>
        <w:rPr>
          <w:rFonts w:ascii="Arial" w:cs="Arial" w:eastAsia="Arial" w:hAnsi="Arial"/>
          <w:sz w:val="22"/>
          <w:szCs w:val="22"/>
        </w:rPr>
        <w:t xml:space="preserve">Résoudre le doublon MIL_EXP_PCT / PMIL_DEF_BUDGET_GDP</w:t>
      </w:r>
    </w:p>
    <w:p>
      <w:pPr>
        <w:pStyle w:val="ListParagraph"/>
        <w:numPr>
          <w:ilvl w:val="0"/>
          <w:numId w:val="2"/>
        </w:numPr>
        <w:spacing w:after="40" w:before="40"/>
      </w:pPr>
      <w:r>
        <w:rPr>
          <w:rFonts w:ascii="Arial" w:cs="Arial" w:eastAsia="Arial" w:hAnsi="Arial"/>
          <w:sz w:val="22"/>
          <w:szCs w:val="22"/>
        </w:rPr>
        <w:t xml:space="preserve">Traiter les 84 indicateurs COMPLETER_REGISTRY (enrichissement métadonnées)</w:t>
      </w:r>
    </w:p>
    <w:p>
      <w:pPr>
        <w:pStyle w:val="ListParagraph"/>
        <w:numPr>
          <w:ilvl w:val="0"/>
          <w:numId w:val="2"/>
        </w:numPr>
        <w:spacing w:after="40" w:before="40"/>
      </w:pPr>
      <w:r>
        <w:rPr>
          <w:rFonts w:ascii="Arial" w:cs="Arial" w:eastAsia="Arial" w:hAnsi="Arial"/>
          <w:sz w:val="22"/>
          <w:szCs w:val="22"/>
        </w:rPr>
        <w:t xml:space="preserve">Intégrer EITI une fois la source vérifiée sur eiti.org/countries (déjà identifiée, rejetée en sprint 4 pour source non vérifiable — à réexaminer)</w:t>
      </w:r>
    </w:p>
    <w:p>
      <w:pPr>
        <w:pStyle w:val="Heading1"/>
        <w:spacing w:after="120" w:before="360"/>
      </w:pPr>
      <w:r>
        <w:rPr>
          <w:rFonts w:ascii="Arial" w:cs="Arial" w:eastAsia="Arial" w:hAnsi="Arial"/>
          <w:b/>
          <w:bCs/>
          <w:color w:val="1E3A5F"/>
          <w:sz w:val="32"/>
          <w:szCs w:val="32"/>
        </w:rPr>
        <w:t xml:space="preserve">8. Artefacts produits et organisation du dépôt</w:t>
      </w:r>
    </w:p>
    <w:p>
      <w:pPr>
        <w:spacing w:after="80" w:before="80"/>
      </w:pPr>
      <w:r>
        <w:rPr>
          <w:rFonts w:ascii="Arial" w:cs="Arial" w:eastAsia="Arial" w:hAnsi="Arial"/>
          <w:i w:val="false"/>
          <w:iCs w:val="false"/>
          <w:color w:val="000000"/>
          <w:sz w:val="22"/>
          <w:szCs w:val="22"/>
        </w:rPr>
        <w:t xml:space="preserve">L'ensemble des artefacts produits au cours de la session sont commités dans le dépôt GitHub github.com/Bath4856/osa-observatory sous la branche main. Le tableau ci-dessous en dresse l'inventaire complet.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Fichier</w:t>
            </w:r>
          </w:p>
        </w:tc>
        <w:tc>
          <w:tcPr>
            <w:tcW w:type="dxa" w:w="45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Rôle</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mapping/activation/test_apis_p1.py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Script vérif. APIs P1 — 18 indicateurs</w:t>
            </w:r>
          </w:p>
        </w:tc>
      </w:tr>
      <w:tr>
        <w:tc>
          <w:tcPr>
            <w:tcW w:type="dxa" w:w="4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mapping/activation/patch_p1_api_fixes.py</w:t>
            </w:r>
          </w:p>
        </w:tc>
        <w:tc>
          <w:tcPr>
            <w:tcW w:type="dxa" w:w="4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Retest 5 endpoints corrigés</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mapping/activation/patch_p2_orphans_wb_fast.py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Activation 10 orphelins P2 WB</w:t>
            </w:r>
          </w:p>
        </w:tc>
      </w:tr>
      <w:tr>
        <w:tc>
          <w:tcPr>
            <w:tcW w:type="dxa" w:w="4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mapping/activation/patch_p3_pres_ptra_fast.py</w:t>
            </w:r>
          </w:p>
        </w:tc>
        <w:tc>
          <w:tcPr>
            <w:tcW w:type="dxa" w:w="4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Activation 9 indicateurs P3</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mapping/activation/patch_p4_pmin_industrial.py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Activation 30 indicateurs P4 PMIN</w:t>
            </w:r>
          </w:p>
        </w:tc>
      </w:tr>
      <w:tr>
        <w:tc>
          <w:tcPr>
            <w:tcW w:type="dxa" w:w="4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mapping/activation/patch_p5_zero_orphans.py</w:t>
            </w:r>
          </w:p>
        </w:tc>
        <w:tc>
          <w:tcPr>
            <w:tcW w:type="dxa" w:w="4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Activation 13 orphelins P5 — 0 restant</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db/patch_db/patch_p1_indicator_source_fixes.sql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SQL P1 corrections endpoints</w:t>
            </w:r>
          </w:p>
        </w:tc>
      </w:tr>
      <w:tr>
        <w:tc>
          <w:tcPr>
            <w:tcW w:type="dxa" w:w="4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db/patch_db/patch_p2_orphans_wb_fast.sql</w:t>
            </w:r>
          </w:p>
        </w:tc>
        <w:tc>
          <w:tcPr>
            <w:tcW w:type="dxa" w:w="4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SQL P2 orphelins WB</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db/patch_db/patch_p3_physical_mapping.sql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SQL P3 PRES/PTRA physiques</w:t>
            </w:r>
          </w:p>
        </w:tc>
      </w:tr>
      <w:tr>
        <w:tc>
          <w:tcPr>
            <w:tcW w:type="dxa" w:w="4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db/patch_db/patch_p4a/b/c/d_pmin_*.sql</w:t>
            </w:r>
          </w:p>
        </w:tc>
        <w:tc>
          <w:tcPr>
            <w:tcW w:type="dxa" w:w="4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SQL P4 PMIN (4 fichiers)</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db/patch_db/patch_p5a_pmil_security.sql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SQL P5A PMIL sécurité</w:t>
            </w:r>
          </w:p>
        </w:tc>
      </w:tr>
      <w:tr>
        <w:tc>
          <w:tcPr>
            <w:tcW w:type="dxa" w:w="4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db/patch_db/patch_p5b_phum_structural.sql</w:t>
            </w:r>
          </w:p>
        </w:tc>
        <w:tc>
          <w:tcPr>
            <w:tcW w:type="dxa" w:w="4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SQL P5B PHUM structurel</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db/patch_db/patch_p5c_hybrids_final.sql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SQL P5C hybrides finaux</w:t>
            </w:r>
          </w:p>
        </w:tc>
      </w:tr>
      <w:tr>
        <w:tc>
          <w:tcPr>
            <w:tcW w:type="dxa" w:w="4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db/views/ma/v_mapping_quality_score.sql</w:t>
            </w:r>
          </w:p>
        </w:tc>
        <w:tc>
          <w:tcPr>
            <w:tcW w:type="dxa" w:w="4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Vue qualité mapping</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db/views/ma/v_mapping_maturity.sql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Vue maturité mapping</w:t>
            </w:r>
          </w:p>
        </w:tc>
      </w:tr>
      <w:tr>
        <w:tc>
          <w:tcPr>
            <w:tcW w:type="dxa" w:w="4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db/views/ma/v_pmin_industrial_quality.sql</w:t>
            </w:r>
          </w:p>
        </w:tc>
        <w:tc>
          <w:tcPr>
            <w:tcW w:type="dxa" w:w="4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Vue qualité PMIN industriel</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db/views/ma/v_orphan_resolution_status.sql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Vue résolution orphelins</w:t>
            </w:r>
          </w:p>
        </w:tc>
      </w:tr>
      <w:tr>
        <w:tc>
          <w:tcPr>
            <w:tcW w:type="dxa" w:w="4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db/run/run_p2…p5_*.ps1</w:t>
            </w:r>
          </w:p>
        </w:tc>
        <w:tc>
          <w:tcPr>
            <w:tcW w:type="dxa" w:w="4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Scripts PowerShell d'exécution (6 fichiers)</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audit/mapping_maturity_report.sql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Rapport maturité SQL</w:t>
            </w:r>
          </w:p>
        </w:tc>
      </w:tr>
      <w:tr>
        <w:tc>
          <w:tcPr>
            <w:tcW w:type="dxa" w:w="4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audit/pmin_industrial_report.sql</w:t>
            </w:r>
          </w:p>
        </w:tc>
        <w:tc>
          <w:tcPr>
            <w:tcW w:type="dxa" w:w="4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Rapport PMIN industriel SQL</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audit/orphan_resolution_report.sql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Rapport résolution orphelins SQL</w:t>
            </w:r>
          </w:p>
        </w:tc>
      </w:tr>
      <w:tr>
        <w:tc>
          <w:tcPr>
            <w:tcW w:type="dxa" w:w="4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mapping/README_mapping_governance_workflow.md</w:t>
            </w:r>
          </w:p>
        </w:tc>
        <w:tc>
          <w:tcPr>
            <w:tcW w:type="dxa" w:w="4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Documentation workflow gouvernance</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E3A5F"/>
                <w:sz w:val="20"/>
                <w:szCs w:val="20"/>
              </w:rPr>
              <w:t xml:space="preserve">mapping/README_p5_zero_orphans_workflow.md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555555"/>
                <w:sz w:val="20"/>
                <w:szCs w:val="20"/>
              </w:rPr>
              <w:t xml:space="preserve">Documentation workflow P5</w:t>
            </w:r>
          </w:p>
        </w:tc>
      </w:tr>
    </w:tbl>
    <w:p>
      <w:pPr>
        <w:spacing w:after="80" w:before="80"/>
      </w:pPr>
    </w:p>
    <w:p>
      <w:pPr>
        <w:spacing w:after="80" w:before="80"/>
      </w:pPr>
      <w:r>
        <w:rPr>
          <w:rFonts w:ascii="Arial" w:cs="Arial" w:eastAsia="Arial" w:hAnsi="Arial"/>
          <w:i w:val="false"/>
          <w:iCs w:val="false"/>
          <w:color w:val="000000"/>
          <w:sz w:val="22"/>
          <w:szCs w:val="22"/>
        </w:rPr>
        <w:t xml:space="preserve">Les commits de la session, dans l'ordre chronologique : f869a5f (réorganisation repo + P1), 4bbb627 (P2), 4da482d (P1 fixes + P3 + maturité), 44d50ed (P4 PMIN), 0c2521f (P5 zéro orphelin).</w:t>
      </w:r>
    </w:p>
    <w:p>
      <w:pPr>
        <w:pBdr>
          <w:bottom w:val="single" w:color="1E3A5F" w:sz="4" w:space="1"/>
        </w:pBdr>
        <w:spacing w:after="160" w:before="160"/>
      </w:pPr>
    </w:p>
    <w:p>
      <w:pPr>
        <w:pStyle w:val="Heading1"/>
        <w:spacing w:after="120" w:before="360"/>
      </w:pPr>
      <w:r>
        <w:rPr>
          <w:rFonts w:ascii="Arial" w:cs="Arial" w:eastAsia="Arial" w:hAnsi="Arial"/>
          <w:b/>
          <w:bCs/>
          <w:color w:val="1E3A5F"/>
          <w:sz w:val="32"/>
          <w:szCs w:val="32"/>
        </w:rPr>
        <w:t xml:space="preserve">Conclusion</w:t>
      </w:r>
    </w:p>
    <w:p>
      <w:pPr>
        <w:spacing w:after="80" w:before="80"/>
      </w:pPr>
      <w:r>
        <w:rPr>
          <w:rFonts w:ascii="Arial" w:cs="Arial" w:eastAsia="Arial" w:hAnsi="Arial"/>
          <w:i w:val="false"/>
          <w:iCs w:val="false"/>
          <w:color w:val="000000"/>
          <w:sz w:val="22"/>
          <w:szCs w:val="22"/>
        </w:rPr>
        <w:t xml:space="preserve">La session du 09 mai 2026 marque un jalon fondateur dans le développement du projet OSA. En partant d'une situation où aucun des 170 indicateurs audités ne disposait d'un mapping opérationnel, cinq vagues successives d'activation ont permis d'atteindre l'objectif zéro orphelin : tous les 64 indicateurs orphelins identifiés sont désormais connectés à une source de données, leur mapping est actif dans la base de données, et l'infrastructure de gouvernance (vues SQL, scripts d'audit, rapport de maturité) est en place pour piloter la suite.</w:t>
      </w:r>
    </w:p>
    <w:p>
      <w:pPr>
        <w:spacing w:after="80" w:before="80"/>
      </w:pPr>
    </w:p>
    <w:p>
      <w:pPr>
        <w:spacing w:after="80" w:before="80"/>
      </w:pPr>
      <w:r>
        <w:rPr>
          <w:rFonts w:ascii="Arial" w:cs="Arial" w:eastAsia="Arial" w:hAnsi="Arial"/>
          <w:i w:val="false"/>
          <w:iCs w:val="false"/>
          <w:color w:val="000000"/>
          <w:sz w:val="22"/>
          <w:szCs w:val="22"/>
        </w:rPr>
        <w:t xml:space="preserve">Le sprint 5 dispose d'une feuille de route précise : 99 indicateurs CONNECTER_SOURCE à résoudre (dont 28 dans le pilier géopolitique PGEO qui constitue la priorité absolue), 84 indicateurs COMPLETER_REGISTRY à enrichir, et le lancement du pipeline ISA complet pour produire les premiers scores pays calculés avec le nouveau périmètre de données. La qualité de l'ISA comme instrument de mesure de la souveraineté africaine dépend directement de la progression de ce chantier.</w:t>
      </w:r>
    </w:p>
    <w:p>
      <w:pPr>
        <w:spacing w:after="80" w:before="80"/>
      </w:pPr>
    </w:p>
    <w:p>
      <w:pPr>
        <w:spacing w:after="0" w:before="120"/>
        <w:jc w:val="center"/>
      </w:pPr>
      <w:r>
        <w:rPr>
          <w:rFonts w:ascii="Arial" w:cs="Arial" w:eastAsia="Arial" w:hAnsi="Arial"/>
          <w:color w:val="888888"/>
          <w:sz w:val="18"/>
          <w:szCs w:val="18"/>
        </w:rPr>
        <w:t xml:space="preserve">OSA Observatory — Document interne — 09 mai 2026 — Version 3.0 finale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120"/>
    </w:pPr>
    <w:r>
      <w:rPr>
        <w:rFonts w:ascii="Arial" w:cs="Arial" w:eastAsia="Arial" w:hAnsi="Arial"/>
        <w:color w:val="555555"/>
        <w:sz w:val="18"/>
        <w:szCs w:val="18"/>
      </w:rPr>
      <w:t xml:space="preserve">OSA — Rapport final Sprint 4 — 09 mai 2026</w:t>
    </w:r>
    <w:r>
      <w:rPr>
        <w:rFonts w:ascii="Arial" w:cs="Arial" w:eastAsia="Arial" w:hAnsi="Arial"/>
        <w:sz w:val="18"/>
        <w:szCs w:val="18"/>
      </w:rPr>
      <w:t xml:space="preserve">	</w:t>
    </w: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1"/>
      </w:pBdr>
      <w:spacing w:after="120"/>
    </w:pPr>
    <w:r>
      <w:rPr>
        <w:rFonts w:ascii="Arial" w:cs="Arial" w:eastAsia="Arial" w:hAnsi="Arial"/>
        <w:b/>
        <w:bCs/>
        <w:color w:val="1E3A5F"/>
        <w:sz w:val="20"/>
        <w:szCs w:val="20"/>
      </w:rPr>
      <w:t xml:space="preserve">Observatoire de la Souveraineté Africaine (OSA)</w:t>
    </w:r>
    <w:r>
      <w:rPr>
        <w:rFonts w:ascii="Arial" w:cs="Arial" w:eastAsia="Arial" w:hAnsi="Arial"/>
        <w:color w:val="555555"/>
        <w:sz w:val="20"/>
        <w:szCs w:val="20"/>
      </w:rPr>
      <w:t xml:space="preserve">   —   Rapport final de gouvernance mapping — Sprint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E3A5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2026-05-09T20:06:26.480Z</dcterms:created>
  <dcterms:modified xsi:type="dcterms:W3CDTF">2026-05-09T20:06:26.510Z</dcterms:modified>
</cp:coreProperties>
</file>

<file path=docProps/custom.xml><?xml version="1.0" encoding="utf-8"?>
<Properties xmlns="http://schemas.openxmlformats.org/officeDocument/2006/custom-properties" xmlns:vt="http://schemas.openxmlformats.org/officeDocument/2006/docPropsVTypes"/>
</file>