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500"/>
              <w:left w:type="dxa" w:w="400"/>
              <w:bottom w:type="dxa" w:w="500"/>
              <w:right w:type="dxa" w:w="400"/>
            </w:tcMar>
          </w:tcPr>
          <w:p>
            <w:pPr>
              <w:spacing w:after="200" w:before="0"/>
              <w:jc w:val="center"/>
            </w:pPr>
            <w:r>
              <w:rPr>
                <w:rFonts w:ascii="Arial" w:cs="Arial" w:eastAsia="Arial" w:hAnsi="Arial"/>
                <w:b/>
                <w:bCs/>
                <w:color w:val="C8973A"/>
                <w:sz w:val="22"/>
                <w:szCs w:val="22"/>
              </w:rPr>
              <w:t xml:space="preserve">OSA OBSERVATORY</w:t>
            </w:r>
          </w:p>
          <w:p>
            <w:pPr>
              <w:spacing w:after="120" w:before="0"/>
              <w:jc w:val="center"/>
            </w:pPr>
            <w:r>
              <w:rPr>
                <w:rFonts w:ascii="Arial" w:cs="Arial" w:eastAsia="Arial" w:hAnsi="Arial"/>
                <w:b/>
                <w:bCs/>
                <w:color w:val="FFFFFF"/>
                <w:sz w:val="46"/>
                <w:szCs w:val="46"/>
              </w:rPr>
              <w:t xml:space="preserve">SPRINT 6 — RAPPORT FINAL</w:t>
            </w:r>
          </w:p>
          <w:p>
            <w:pPr>
              <w:spacing w:after="120" w:before="0"/>
              <w:jc w:val="center"/>
            </w:pPr>
            <w:r>
              <w:rPr>
                <w:rFonts w:ascii="Arial" w:cs="Arial" w:eastAsia="Arial" w:hAnsi="Arial"/>
                <w:b/>
                <w:bCs/>
                <w:color w:val="C8973A"/>
                <w:sz w:val="28"/>
                <w:szCs w:val="28"/>
              </w:rPr>
              <w:t xml:space="preserve">CLOS — 19 Mai 2026</w:t>
            </w:r>
          </w:p>
          <w:p>
            <w:pPr>
              <w:spacing w:after="80" w:before="120"/>
              <w:jc w:val="center"/>
            </w:pPr>
            <w:r>
              <w:rPr>
                <w:rFonts w:ascii="Arial" w:cs="Arial" w:eastAsia="Arial" w:hAnsi="Arial"/>
                <w:i/>
                <w:iCs/>
                <w:color w:val="B5C9DB"/>
                <w:sz w:val="20"/>
                <w:szCs w:val="20"/>
              </w:rPr>
              <w:t xml:space="preserve">Pipeline L2/L3 complet · Recalibration AMAR/GENECO · Gel bornes · EITI · UCDP · ILO ILOSTAT</w:t>
            </w:r>
          </w:p>
          <w:p>
            <w:pPr>
              <w:spacing w:after="0" w:before="80"/>
              <w:jc w:val="center"/>
            </w:pPr>
            <w:r>
              <w:rPr>
                <w:rFonts w:ascii="Arial" w:cs="Arial" w:eastAsia="Arial" w:hAnsi="Arial"/>
                <w:color w:val="AAAAAA"/>
                <w:sz w:val="18"/>
                <w:szCs w:val="18"/>
              </w:rPr>
              <w:t xml:space="preserve">2 commits — d401fac · 831e3ba</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7AE60" w:val="clear"/>
            <w:tcMar>
              <w:top w:type="dxa" w:w="120"/>
              <w:left w:type="dxa" w:w="240"/>
              <w:bottom w:type="dxa" w:w="120"/>
              <w:right w:type="dxa" w:w="240"/>
            </w:tcMar>
          </w:tcPr>
          <w:p>
            <w:r>
              <w:rPr>
                <w:rFonts w:ascii="Arial" w:cs="Arial" w:eastAsia="Arial" w:hAnsi="Arial"/>
                <w:b/>
                <w:bCs/>
                <w:color w:val="FFFFFF"/>
                <w:sz w:val="20"/>
                <w:szCs w:val="20"/>
              </w:rPr>
              <w:t xml:space="preserve">✓  Sprint 6 CLOS — 7 chantiers complétés — 35 860 valeurs L2 — 117 bornes gelées — 626 lignes ILO</w:t>
            </w:r>
          </w:p>
        </w:tc>
      </w:tr>
    </w:tbl>
    <w:p>
      <w:r>
        <w:br w:type="page"/>
      </w:r>
    </w:p>
    <w:p>
      <w:pPr>
        <w:pStyle w:val="Heading1"/>
        <w:spacing w:after="160" w:before="400"/>
      </w:pPr>
      <w:r>
        <w:rPr>
          <w:rFonts w:ascii="Arial" w:cs="Arial" w:eastAsia="Arial" w:hAnsi="Arial"/>
          <w:b/>
          <w:bCs/>
          <w:color w:val="1B3A5C"/>
          <w:sz w:val="34"/>
          <w:szCs w:val="34"/>
        </w:rPr>
        <w:t xml:space="preserve">1. Contexte et objectifs</w:t>
      </w:r>
    </w:p>
    <w:p>
      <w:pPr>
        <w:spacing w:after="100" w:before="60"/>
      </w:pPr>
      <w:r>
        <w:rPr>
          <w:rFonts w:ascii="Arial" w:cs="Arial" w:eastAsia="Arial" w:hAnsi="Arial"/>
          <w:color w:val="2C2C2C"/>
          <w:sz w:val="22"/>
          <w:szCs w:val="22"/>
        </w:rPr>
        <w:t xml:space="preserve">Sprint 6 avait pour mission de corriger le problème structurel identifié en fin de Sprint 5 : 108 des 135 indicateurs actifs restaient bloqués en L1, sans imputation MICE (L2) ni normalisation (L3). Seuls 27 indicateurs avaient été traités, ce qui produisait des scores AMAR/GENECO calculés sur une couverture partielle.</w:t>
      </w:r>
    </w:p>
    <w:p>
      <w:pPr>
        <w:spacing w:after="0" w:before="80"/>
      </w:pPr>
      <w:r>
        <w:t xml:space="preserve"/>
      </w:r>
    </w:p>
    <w:p>
      <w:pPr>
        <w:spacing w:after="100" w:before="60"/>
      </w:pPr>
      <w:r>
        <w:rPr>
          <w:rFonts w:ascii="Arial" w:cs="Arial" w:eastAsia="Arial" w:hAnsi="Arial"/>
          <w:color w:val="2C2C2C"/>
          <w:sz w:val="22"/>
          <w:szCs w:val="22"/>
        </w:rPr>
        <w:t xml:space="preserve">Sprint 6 adresse simultanément trois chantiers complémentaires : l'intégration de nouvelles sources (UCDP, EITI nettoyé, ILO ILOSTAT), la mise en place d'un gel de bornes de normalisation pour garantir la comparabilité temporelle, et la création d'un orchestrateur pipeline complet.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Problème identifié fin Sprint 5</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Solution Sprint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108/135 indicateurs bloqués en L1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Imputation MICE complète sur 10 piliers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Seuils AMAR/GENECO inadaptés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Recalibration sur percentiles empiriques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Scores non comparables dans le temps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Gel des bornes rf.normalization_bounds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EITI avec 820 doublons MIN_GOV</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Nettoyage 1 620 → 810 lignes propres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 sans données UCDP en L3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Propagation UCDP : 0 → 2 933 lignes L3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Pas d'orchestrateur pipeline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run_full_pipeline.ps1 v3 avec checkpoint</w:t>
            </w:r>
          </w:p>
        </w:tc>
      </w:tr>
    </w:tbl>
    <w:p>
      <w:r>
        <w:br w:type="page"/>
      </w:r>
    </w:p>
    <w:p>
      <w:pPr>
        <w:pStyle w:val="Heading1"/>
        <w:spacing w:after="160" w:before="400"/>
      </w:pPr>
      <w:r>
        <w:rPr>
          <w:rFonts w:ascii="Arial" w:cs="Arial" w:eastAsia="Arial" w:hAnsi="Arial"/>
          <w:b/>
          <w:bCs/>
          <w:color w:val="1B3A5C"/>
          <w:sz w:val="34"/>
          <w:szCs w:val="34"/>
        </w:rPr>
        <w:t xml:space="preserve">2. Commits Sprint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d401fac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L2 MICE complet 10 piliers + recalibration seuils AMAR/GENECO v2 + gel bornes rf.normalization_bounds v1_2026 (117 bornes) + EITI nettoyé (MIN_GOV 1 620→810) + UCDP propagé (PGEO 0→2 933 lignes L3) + run_full_pipeline.ps1 v3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831e3ba</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ILO ILOSTAT intégré : 4 indicateurs ECO_INFORMAL_RATE/NAG/NB/MICRO + patch_ilo_registration.sql + fetcher_ilo_csv.py + mm.source_origins ILO + L2/L3/alert refresh</w:t>
            </w:r>
          </w:p>
        </w:tc>
      </w:tr>
    </w:tbl>
    <w:p>
      <w:r>
        <w:br w:type="page"/>
      </w:r>
    </w:p>
    <w:p>
      <w:pPr>
        <w:pStyle w:val="Heading1"/>
        <w:spacing w:after="160" w:before="400"/>
      </w:pPr>
      <w:r>
        <w:rPr>
          <w:rFonts w:ascii="Arial" w:cs="Arial" w:eastAsia="Arial" w:hAnsi="Arial"/>
          <w:b/>
          <w:bCs/>
          <w:color w:val="1B3A5C"/>
          <w:sz w:val="34"/>
          <w:szCs w:val="34"/>
        </w:rPr>
        <w:t xml:space="preserve">3. Chantier 1 — Pipeline L2/L3 complet</w:t>
      </w:r>
    </w:p>
    <w:p>
      <w:pPr>
        <w:pStyle w:val="Heading2"/>
        <w:pBdr>
          <w:bottom w:val="single" w:color="2E6DA4" w:sz="4" w:space="4"/>
        </w:pBdr>
        <w:spacing w:after="120" w:before="280"/>
      </w:pPr>
      <w:r>
        <w:rPr>
          <w:rFonts w:ascii="Arial" w:cs="Arial" w:eastAsia="Arial" w:hAnsi="Arial"/>
          <w:b/>
          <w:bCs/>
          <w:color w:val="2E6DA4"/>
          <w:sz w:val="26"/>
          <w:szCs w:val="26"/>
        </w:rPr>
        <w:t xml:space="preserve">3.1 Imputation MICE — 10 piliers</w:t>
      </w:r>
    </w:p>
    <w:p>
      <w:pPr>
        <w:spacing w:after="100" w:before="60"/>
      </w:pPr>
      <w:r>
        <w:rPr>
          <w:rFonts w:ascii="Arial" w:cs="Arial" w:eastAsia="Arial" w:hAnsi="Arial"/>
          <w:color w:val="2C2C2C"/>
          <w:sz w:val="22"/>
          <w:szCs w:val="22"/>
        </w:rPr>
        <w:t xml:space="preserve">L'imputer MICE (imputer_v3.py) a été corrigé (division par zéro sur années identiques) et exécuté sur les 10 piliers. Résultat : 35 860 valeurs L2 insérées, zéro valeur manquante après imputation.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Pilier — Durée — Lignes L2</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 MICE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PMIN — 311s — 18 419 lignes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0.72</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PECO — 106s — 1 577 lignes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0.75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 — 115s — 3 407 lignes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0.71</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PHUM — 100s — 1 754 lignes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0.74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PENV — 102s — 1 790 lignes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0.73</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 — 98s  — 3 117 lignes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0.70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PMIL — 83s  — 2 879 lignes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0.76</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PMON — 78s  — 1 614 lignes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0.78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PTRA — 74s  — 6 593 lignes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0.73</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PNUM — 68s  — 2 234 lignes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0.75</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3.2 Normalisation L3 — run_pipeline_historical(2010, 2024)</w:t>
      </w:r>
    </w:p>
    <w:p>
      <w:pPr>
        <w:spacing w:after="100" w:before="60"/>
      </w:pPr>
      <w:r>
        <w:rPr>
          <w:rFonts w:ascii="Arial" w:cs="Arial" w:eastAsia="Arial" w:hAnsi="Arial"/>
          <w:color w:val="2C2C2C"/>
          <w:sz w:val="22"/>
          <w:szCs w:val="22"/>
        </w:rPr>
        <w:t xml:space="preserve">Après imputation L2 complète, run_pipeline_historical a été exécuté sur 2010–2024. Toutes les vues matérialisées ont été rafraîchies. La normalisation couvrait dynamiquement MIN/MAX par indicateur/année avant la mise en place du gel (Sprint 7).</w:t>
      </w:r>
    </w:p>
    <w:p>
      <w:r>
        <w:br w:type="page"/>
      </w:r>
    </w:p>
    <w:p>
      <w:pPr>
        <w:pStyle w:val="Heading1"/>
        <w:spacing w:after="160" w:before="400"/>
      </w:pPr>
      <w:r>
        <w:rPr>
          <w:rFonts w:ascii="Arial" w:cs="Arial" w:eastAsia="Arial" w:hAnsi="Arial"/>
          <w:b/>
          <w:bCs/>
          <w:color w:val="1B3A5C"/>
          <w:sz w:val="34"/>
          <w:szCs w:val="34"/>
        </w:rPr>
        <w:t xml:space="preserve">4. Chantier 2 — Recalibration seuils AMAR/GENECO</w:t>
      </w:r>
    </w:p>
    <w:p>
      <w:pPr>
        <w:spacing w:after="100" w:before="60"/>
      </w:pPr>
      <w:r>
        <w:rPr>
          <w:rFonts w:ascii="Arial" w:cs="Arial" w:eastAsia="Arial" w:hAnsi="Arial"/>
          <w:color w:val="2C2C2C"/>
          <w:sz w:val="22"/>
          <w:szCs w:val="22"/>
        </w:rPr>
        <w:t xml:space="preserve">L'imputation complète L2 a comprimé la distribution des scores entre 0.29 et 0.71 (médiane 0.562, écart-type 0.041). Les anciens seuils (0.25/0.45/0.65/0.80), calibrés sur 27 indicateurs, étaient inadaptés à la distribution issue de 135 indicateurs imputés.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Bande — Ancien seuil → Nouveau seuil</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GREEN  : &lt; 0.250 → &lt; 0.350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 dessous du minimum historique 0.291</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YELLOW : 0.250–0.449 → 0.350–0.449</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Zone basse de la distribution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ORANGE : 0.450–0.649 → 0.450–0.549</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Autour du percentile 25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RED    : 0.650–0.799 → 0.550–0.649</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Médiane → P75 historique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BLACK  : ≥ 0.800 → ≥ 0.650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Au-dessus de P75 historique 0.638</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Distribution AMAR 2024 après recalibration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Bande</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Nb pays 2024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BLACK (≥ 0.650)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RED (0.550–0.649)</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37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ORANGE (0.450–0.549)</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YELLOW (0.350–0.449)</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bl>
    <w:p>
      <w:pPr>
        <w:spacing w:after="0" w:before="80"/>
      </w:pPr>
      <w:r>
        <w:t xml:space="preserve"/>
      </w:r>
    </w:p>
    <w:p>
      <w:pPr>
        <w:spacing w:after="100" w:before="60"/>
      </w:pPr>
      <w:r>
        <w:rPr>
          <w:rFonts w:ascii="Arial" w:cs="Arial" w:eastAsia="Arial" w:hAnsi="Arial"/>
          <w:color w:val="2C2C2C"/>
          <w:sz w:val="22"/>
          <w:szCs w:val="22"/>
        </w:rPr>
        <w:t xml:space="preserve">Distribution analytiquement cohérente avec la réalité continentale — 40 pays sur 54 en RED ou BLACK reflète la pression structurelle documentée sur la souveraineté africaine.</w:t>
      </w:r>
    </w:p>
    <w:p>
      <w:r>
        <w:br w:type="page"/>
      </w:r>
    </w:p>
    <w:p>
      <w:pPr>
        <w:pStyle w:val="Heading1"/>
        <w:spacing w:after="160" w:before="400"/>
      </w:pPr>
      <w:r>
        <w:rPr>
          <w:rFonts w:ascii="Arial" w:cs="Arial" w:eastAsia="Arial" w:hAnsi="Arial"/>
          <w:b/>
          <w:bCs/>
          <w:color w:val="1B3A5C"/>
          <w:sz w:val="34"/>
          <w:szCs w:val="34"/>
        </w:rPr>
        <w:t xml:space="preserve">5. Chantier 3 — Gel des bornes rf.normalization_bounds</w:t>
      </w:r>
    </w:p>
    <w:p>
      <w:pPr>
        <w:spacing w:after="100" w:before="60"/>
      </w:pPr>
      <w:r>
        <w:rPr>
          <w:rFonts w:ascii="Arial" w:cs="Arial" w:eastAsia="Arial" w:hAnsi="Arial"/>
          <w:color w:val="2C2C2C"/>
          <w:sz w:val="22"/>
          <w:szCs w:val="22"/>
        </w:rPr>
        <w:t xml:space="preserve">Création de rf.normalization_bounds — table de bornes figées sur la période de référence 2010–2020. Principe aligné sur le standard PNUD/Banque mondiale (IDH) : les bornes de référence restent stables quelles que soient les nouvelles années ajoutées.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Version du gel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v1_2026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Période de référence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2010–2020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Indicateurs gelés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117 sur 124 actifs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Indicateurs exclus (min=max)</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7 — traités en Sprint 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Pilier mieux couvert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PMIN — 78.5% (27 indicateurs)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Piliers moins couverts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PECO / PRES — 21–24%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Mécanisme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normalize_indicator() lira ces bornes en priorité (Sprint 7)</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7 indicateurs exclus du gel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9 observations, valeur unique — source à vérifier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ENV_ENE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 observations seulement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PGEO_MINE_COORD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Indicateur binaire — exclusion définitive justifiée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HUM_EDU</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11 observations, valeur unique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HUM_RES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 observations, valeur unique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PRES_OIL_RENTS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10 observations, un seul pays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PRES_RENEW_SHARE_FEC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 observations — couverture insuffisante</w:t>
            </w:r>
          </w:p>
        </w:tc>
      </w:tr>
    </w:tbl>
    <w:p>
      <w:r>
        <w:br w:type="page"/>
      </w:r>
    </w:p>
    <w:p>
      <w:pPr>
        <w:pStyle w:val="Heading1"/>
        <w:spacing w:after="160" w:before="400"/>
      </w:pPr>
      <w:r>
        <w:rPr>
          <w:rFonts w:ascii="Arial" w:cs="Arial" w:eastAsia="Arial" w:hAnsi="Arial"/>
          <w:b/>
          <w:bCs/>
          <w:color w:val="1B3A5C"/>
          <w:sz w:val="34"/>
          <w:szCs w:val="34"/>
        </w:rPr>
        <w:t xml:space="preserve">6. Chantiers 4 &amp; 5 — EITI nettoyé et UCDP propagé</w:t>
      </w:r>
    </w:p>
    <w:p>
      <w:pPr>
        <w:pStyle w:val="Heading2"/>
        <w:pBdr>
          <w:bottom w:val="single" w:color="2E6DA4" w:sz="4" w:space="4"/>
        </w:pBdr>
        <w:spacing w:after="120" w:before="280"/>
      </w:pPr>
      <w:r>
        <w:rPr>
          <w:rFonts w:ascii="Arial" w:cs="Arial" w:eastAsia="Arial" w:hAnsi="Arial"/>
          <w:b/>
          <w:bCs/>
          <w:color w:val="2E6DA4"/>
          <w:sz w:val="26"/>
          <w:szCs w:val="26"/>
        </w:rPr>
        <w:t xml:space="preserve">6.1 EITI — Nettoyage MIN_GOV</w:t>
      </w:r>
    </w:p>
    <w:p>
      <w:pPr>
        <w:spacing w:after="100" w:before="60"/>
      </w:pPr>
      <w:r>
        <w:rPr>
          <w:rFonts w:ascii="Arial" w:cs="Arial" w:eastAsia="Arial" w:hAnsi="Arial"/>
          <w:color w:val="2C2C2C"/>
          <w:sz w:val="22"/>
          <w:szCs w:val="22"/>
        </w:rPr>
        <w:t xml:space="preserve">Le fichier Excel EITI officiel (EITI_revenue_data_query_v1.xlsx — 114 555 lignes, 28 pays africains, 1999–2022) avait généré 1 620 lignes en L1 pour MIN_GOV suite à deux insertions successives. Nettoyage : 1 620 → 810 lignes propres.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Avant nettoyage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Après nettoyage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1 620 lignes MIN_GOV (doublons)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810 lignes propres (ON CONFLICT DO NOTHING appliqué)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PMIN L3 : 15 539 lignes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PMIN L3 : 33 958 lignes (+118%)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28 pays EITI membres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28 pays EITI — couverture maintenue</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6.2 UCDP v25.1 — Propagation PGEO</w:t>
      </w:r>
    </w:p>
    <w:p>
      <w:pPr>
        <w:spacing w:after="100" w:before="60"/>
      </w:pPr>
      <w:r>
        <w:rPr>
          <w:rFonts w:ascii="Arial" w:cs="Arial" w:eastAsia="Arial" w:hAnsi="Arial"/>
          <w:color w:val="2C2C2C"/>
          <w:sz w:val="22"/>
          <w:szCs w:val="22"/>
        </w:rPr>
        <w:t xml:space="preserve">UCDP (Uppsala Conflict Data Program) v25.1 était déjà en L1 pour PGEO_FAT, PGEO_SPR, PGEO_EVT. L'imputation MICE L2 complète et la renormalisation L3 ont permis de propager ces données dans le pipeline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 PGEO</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L3 avant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PGEO_FAT (fatalités)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lignes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PGEO_SPR (propagation géo.)</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 lignes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PGEO_EVT (événements)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lignes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 L3 total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 lignes</w:t>
            </w:r>
          </w:p>
        </w:tc>
      </w:tr>
    </w:tbl>
    <w:p>
      <w:r>
        <w:br w:type="page"/>
      </w:r>
    </w:p>
    <w:p>
      <w:pPr>
        <w:pStyle w:val="Heading1"/>
        <w:spacing w:after="160" w:before="400"/>
      </w:pPr>
      <w:r>
        <w:rPr>
          <w:rFonts w:ascii="Arial" w:cs="Arial" w:eastAsia="Arial" w:hAnsi="Arial"/>
          <w:b/>
          <w:bCs/>
          <w:color w:val="1B3A5C"/>
          <w:sz w:val="34"/>
          <w:szCs w:val="34"/>
        </w:rPr>
        <w:t xml:space="preserve">7. Chantier 6 — ILO ILOSTAT intégré</w:t>
      </w:r>
    </w:p>
    <w:p>
      <w:pPr>
        <w:pStyle w:val="Heading2"/>
        <w:pBdr>
          <w:bottom w:val="single" w:color="2E6DA4" w:sz="4" w:space="4"/>
        </w:pBdr>
        <w:spacing w:after="120" w:before="280"/>
      </w:pPr>
      <w:r>
        <w:rPr>
          <w:rFonts w:ascii="Arial" w:cs="Arial" w:eastAsia="Arial" w:hAnsi="Arial"/>
          <w:b/>
          <w:bCs/>
          <w:color w:val="2E6DA4"/>
          <w:sz w:val="26"/>
          <w:szCs w:val="26"/>
        </w:rPr>
        <w:t xml:space="preserve">7.1 Contexte analytique</w:t>
      </w:r>
    </w:p>
    <w:p>
      <w:pPr>
        <w:spacing w:after="100" w:before="60"/>
      </w:pPr>
      <w:r>
        <w:rPr>
          <w:rFonts w:ascii="Arial" w:cs="Arial" w:eastAsia="Arial" w:hAnsi="Arial"/>
          <w:color w:val="2C2C2C"/>
          <w:sz w:val="22"/>
          <w:szCs w:val="22"/>
        </w:rPr>
        <w:t xml:space="preserve">L'intégration ILO ILOSTAT répond à la décision doctrinale d'adopter une approche conséquentialiste pour la corruption et l'économie informelle — mesurer les effets souverains de l'informalité plutôt que l'informalité comme phénomène perceptuel. L'économie informelle africaine représente 50–80% du PIB réel et 90% de l'emploi dans de nombreux pays — ce n'est pas une anomalie mais le principal mécanisme de survie économique.</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7.2 Indicateurs intégrés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ILO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ECO_INFORMAL_RATE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SDG_0831_SEX_ECO_RT_A — taux emploi informel total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ECO_INFORMAL_NAG</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SDG_0831_SEX_ECO_RT_A — taux emploi informel hors agri.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ECO_INFORMAL_NB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EMP_NIFL_SEX_ECO_NB_A — nb travailleurs informels (milliers)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ECO_INFORMAL_MICRO</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EMP_NIFL_SEX_ECO_EST_NB_A — micro-entreprises 1–4 emp.</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7.3 Infrastructure ILO déployée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mm.source_origins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ILO (id=20) — source_type=international, update_frequency=yearly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collect.data_providers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ILO (id=43) — base_url=https://rplumber.ilo.org/data/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collect.provider_endpoints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ILO_CSV_GZ (id=49) — output_format=csv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collect.source_registry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ILO_ILOSTAT (id=35) — status=GO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fetcher_ilo_csv.py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Détection auto fichiers horodatés via glob — dry-run + run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patch_ilo_registration.sql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Patch complet idempotent — 7 étapes séquentielles</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7.4 Résultats L2 après imputation MICE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L1 (brut)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ECO_INFORMAL_RATE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166 lignes / 44 pays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ECO_INFORMAL_NAG</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166 lignes / 44 pays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ECO_INFORMAL_NB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168 lignes / 44 pays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ECO_INFORMAL_MICRO</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126 lignes / 39 pays</w:t>
            </w:r>
          </w:p>
        </w:tc>
      </w:tr>
    </w:tbl>
    <w:p>
      <w:pPr>
        <w:spacing w:after="0" w:before="80"/>
      </w:pPr>
      <w:r>
        <w:t xml:space="preserve"/>
      </w:r>
    </w:p>
    <w:p>
      <w:pPr>
        <w:spacing w:after="100" w:before="60"/>
      </w:pPr>
      <w:r>
        <w:rPr>
          <w:rFonts w:ascii="Arial" w:cs="Arial" w:eastAsia="Arial" w:hAnsi="Arial"/>
          <w:color w:val="2C2C2C"/>
          <w:sz w:val="22"/>
          <w:szCs w:val="22"/>
        </w:rPr>
        <w:t xml:space="preserve">Leçon méthodologique : les 10 pays manquants en L1 (CAF, COG, DZA, ERI, GIN, GNQ, LBY, MAR, SSD, STP) sont exactement les pays avec les capacités statistiques les plus faibles d'Afrique — pas un biais des données ILO mais une limite structurelle documentée.</w:t>
      </w:r>
    </w:p>
    <w:p>
      <w:r>
        <w:br w:type="page"/>
      </w:r>
    </w:p>
    <w:p>
      <w:pPr>
        <w:pStyle w:val="Heading1"/>
        <w:spacing w:after="160" w:before="400"/>
      </w:pPr>
      <w:r>
        <w:rPr>
          <w:rFonts w:ascii="Arial" w:cs="Arial" w:eastAsia="Arial" w:hAnsi="Arial"/>
          <w:b/>
          <w:bCs/>
          <w:color w:val="1B3A5C"/>
          <w:sz w:val="34"/>
          <w:szCs w:val="34"/>
        </w:rPr>
        <w:t xml:space="preserve">8. Chantier 7 — Orchestrateur run_full_pipeline.ps1</w:t>
      </w:r>
    </w:p>
    <w:p>
      <w:pPr>
        <w:spacing w:after="100" w:before="60"/>
      </w:pPr>
      <w:r>
        <w:rPr>
          <w:rFonts w:ascii="Arial" w:cs="Arial" w:eastAsia="Arial" w:hAnsi="Arial"/>
          <w:color w:val="2C2C2C"/>
          <w:sz w:val="22"/>
          <w:szCs w:val="22"/>
        </w:rPr>
        <w:t xml:space="preserve">Création d'un script PowerShell orchestrateur complet L1→L2→L3 résolvant le problème d'oubli d'imputation identifié en fin de Sprint 5.</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v3 — Sprint 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11 options de menu</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 Pipeline complet tous piliers [2] Pilier unique [3–4] L1 [5–6] L2 [7] L3 [8] Alert refresh [9] Probe [D] Dry-run [R] Reset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Checkpoint JSON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logs/full_pipeline_checkpoint.json — reprend là où il s'est arrêté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Logs horodatés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logs/pipeline/pipeline_YYYYMMDD_HHMMSS.log par exécution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Gestion erreurs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ON_ERROR_STOP + timeout par étape + statut OK/KO par fetcher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Reset sélectif</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-c 'del cp["L2::PPPP"]' pour forcer la re-exécution d'un pilier</w:t>
            </w:r>
          </w:p>
        </w:tc>
      </w:tr>
    </w:tbl>
    <w:p>
      <w:r>
        <w:br w:type="page"/>
      </w:r>
    </w:p>
    <w:p>
      <w:pPr>
        <w:pStyle w:val="Heading1"/>
        <w:spacing w:after="160" w:before="400"/>
      </w:pPr>
      <w:r>
        <w:rPr>
          <w:rFonts w:ascii="Arial" w:cs="Arial" w:eastAsia="Arial" w:hAnsi="Arial"/>
          <w:b/>
          <w:bCs/>
          <w:color w:val="1B3A5C"/>
          <w:sz w:val="34"/>
          <w:szCs w:val="34"/>
        </w:rPr>
        <w:t xml:space="preserve">9. État de la base post-Sprint 6</w:t>
      </w:r>
    </w:p>
    <w:p>
      <w:pPr>
        <w:pStyle w:val="Heading2"/>
        <w:pBdr>
          <w:bottom w:val="single" w:color="2E6DA4" w:sz="4" w:space="4"/>
        </w:pBdr>
        <w:spacing w:after="120" w:before="280"/>
      </w:pPr>
      <w:r>
        <w:rPr>
          <w:rFonts w:ascii="Arial" w:cs="Arial" w:eastAsia="Arial" w:hAnsi="Arial"/>
          <w:b/>
          <w:bCs/>
          <w:color w:val="2E6DA4"/>
          <w:sz w:val="26"/>
          <w:szCs w:val="26"/>
        </w:rPr>
        <w:t xml:space="preserve">9.1 Couverture L3 par pilier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Pilier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Indicateurs L3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PMIN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PMON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PECO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PMIL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PHUM</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PENV</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PNUM</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PTRA</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9</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9.2 Seuils AMAR/GENECO v2 (définitifs)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0"/>
                <w:szCs w:val="20"/>
              </w:rPr>
              <w:t xml:space="preserve">GREEN &lt; 0.35 | YELLOW 0.35–0.449 | ORANGE 0.45–0.549 | RED 0.55–0.649 | BLACK ≥ 0.65</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9.3 Providers et sources intégrés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Nb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World Bank (WB)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IMF</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ILO ILOSTAT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EITI</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SIPRI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ACLED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UCDP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USGS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WGI (via WB)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UNPK / IPI</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bl>
    <w:p>
      <w:r>
        <w:br w:type="page"/>
      </w:r>
    </w:p>
    <w:p>
      <w:pPr>
        <w:pStyle w:val="Heading1"/>
        <w:spacing w:after="160" w:before="400"/>
      </w:pPr>
      <w:r>
        <w:rPr>
          <w:rFonts w:ascii="Arial" w:cs="Arial" w:eastAsia="Arial" w:hAnsi="Arial"/>
          <w:b/>
          <w:bCs/>
          <w:color w:val="1B3A5C"/>
          <w:sz w:val="34"/>
          <w:szCs w:val="34"/>
        </w:rPr>
        <w:t xml:space="preserve">10. Leçons clés et déferrement Sprint 7</w:t>
      </w:r>
    </w:p>
    <w:p>
      <w:pPr>
        <w:pStyle w:val="Heading2"/>
        <w:pBdr>
          <w:bottom w:val="single" w:color="2E6DA4" w:sz="4" w:space="4"/>
        </w:pBdr>
        <w:spacing w:after="120" w:before="280"/>
      </w:pPr>
      <w:r>
        <w:rPr>
          <w:rFonts w:ascii="Arial" w:cs="Arial" w:eastAsia="Arial" w:hAnsi="Arial"/>
          <w:b/>
          <w:bCs/>
          <w:color w:val="2E6DA4"/>
          <w:sz w:val="26"/>
          <w:szCs w:val="26"/>
        </w:rPr>
        <w:t xml:space="preserve">10.1 Leçons Sprint 6</w:t>
      </w:r>
    </w:p>
    <w:p>
      <w:pPr>
        <w:pStyle w:val="ListParagraph"/>
        <w:numPr>
          <w:ilvl w:val="0"/>
          <w:numId w:val="2"/>
        </w:numPr>
        <w:spacing w:after="60" w:before="40"/>
      </w:pPr>
      <w:r>
        <w:rPr>
          <w:rFonts w:ascii="Arial" w:cs="Arial" w:eastAsia="Arial" w:hAnsi="Arial"/>
          <w:color w:val="2C2C2C"/>
          <w:sz w:val="22"/>
          <w:szCs w:val="22"/>
        </w:rPr>
        <w:t xml:space="preserve">L1 always stores raw values — règle OSA confirmée et documentée. La normalisation est exclusivement en L3.</w:t>
      </w:r>
    </w:p>
    <w:p>
      <w:pPr>
        <w:pStyle w:val="ListParagraph"/>
        <w:numPr>
          <w:ilvl w:val="0"/>
          <w:numId w:val="2"/>
        </w:numPr>
        <w:spacing w:after="60" w:before="40"/>
      </w:pPr>
      <w:r>
        <w:rPr>
          <w:rFonts w:ascii="Arial" w:cs="Arial" w:eastAsia="Arial" w:hAnsi="Arial"/>
          <w:color w:val="2C2C2C"/>
          <w:sz w:val="22"/>
          <w:szCs w:val="22"/>
        </w:rPr>
        <w:t xml:space="preserve">ON CONFLICT DO NOTHING est la politique OSA pour tous les upserts — évite les doublons sans erreur.</w:t>
      </w:r>
    </w:p>
    <w:p>
      <w:pPr>
        <w:pStyle w:val="ListParagraph"/>
        <w:numPr>
          <w:ilvl w:val="0"/>
          <w:numId w:val="2"/>
        </w:numPr>
        <w:spacing w:after="60" w:before="40"/>
      </w:pPr>
      <w:r>
        <w:rPr>
          <w:rFonts w:ascii="Arial" w:cs="Arial" w:eastAsia="Arial" w:hAnsi="Arial"/>
          <w:color w:val="2C2C2C"/>
          <w:sz w:val="22"/>
          <w:szCs w:val="22"/>
        </w:rPr>
        <w:t xml:space="preserve">Les dictionnaires de mapping ISO3 explicites sont préférés aux jointures SQL sur noms de pays.</w:t>
      </w:r>
    </w:p>
    <w:p>
      <w:pPr>
        <w:pStyle w:val="ListParagraph"/>
        <w:numPr>
          <w:ilvl w:val="0"/>
          <w:numId w:val="2"/>
        </w:numPr>
        <w:spacing w:after="60" w:before="40"/>
      </w:pPr>
      <w:r>
        <w:rPr>
          <w:rFonts w:ascii="Arial" w:cs="Arial" w:eastAsia="Arial" w:hAnsi="Arial"/>
          <w:color w:val="2C2C2C"/>
          <w:sz w:val="22"/>
          <w:szCs w:val="22"/>
        </w:rPr>
        <w:t xml:space="preserve">La couverture qualité est un critère de sélection de source — switching IMF WEO over World Bank pour MON_EXT.</w:t>
      </w:r>
    </w:p>
    <w:p>
      <w:pPr>
        <w:pStyle w:val="ListParagraph"/>
        <w:numPr>
          <w:ilvl w:val="0"/>
          <w:numId w:val="2"/>
        </w:numPr>
        <w:spacing w:after="60" w:before="40"/>
      </w:pPr>
      <w:r>
        <w:rPr>
          <w:rFonts w:ascii="Arial" w:cs="Arial" w:eastAsia="Arial" w:hAnsi="Arial"/>
          <w:color w:val="2C2C2C"/>
          <w:sz w:val="22"/>
          <w:szCs w:val="22"/>
        </w:rPr>
        <w:t xml:space="preserve">Les classifications régionales des sources (SIPRI : Égypte dans 'Middle East') doivent être gérées explicitement dans les fetchers.</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10.2 Déferrements Sprint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Élément différé</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Étape 3 gel — modifier normalize_indicator()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rf.normalization_bounds prête mais fonction non modifiée — prérequis Sprint 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Exposition vues analytiques (9 vues)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Gel d'abord — API Phase 1 &amp; 2 planifiées Sprint 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ECO_FORMAL_TRAJECTORY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Indicateur COMPUTED basé sur ECO_INFORMAL_RATE — intégration ILO nécessaire d'abord</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r>
              <w:rPr>
                <w:rFonts w:ascii="Arial" w:cs="Arial" w:eastAsia="Arial" w:hAnsi="Arial"/>
                <w:b/>
                <w:bCs/>
                <w:color w:val="FFFFFF"/>
                <w:sz w:val="20"/>
                <w:szCs w:val="20"/>
              </w:rPr>
              <w:t xml:space="preserve">Sprint 6 CLOS — 35 860 valeurs L2 — 117 bornes gelées — 4 indicateurs ILO — Pipeline orchestré — API : 6 endpoints Early Warning opérationnels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after="0" w:before="120"/>
    </w:pPr>
    <w:r>
      <w:rPr>
        <w:rFonts w:ascii="Arial" w:cs="Arial" w:eastAsia="Arial" w:hAnsi="Arial"/>
        <w:color w:val="AAAAAA"/>
        <w:sz w:val="16"/>
        <w:szCs w:val="16"/>
      </w:rPr>
      <w:t xml:space="preserve">Confidentiel — Usage institutionnel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before="0"/>
    </w:pPr>
    <w:r>
      <w:rPr>
        <w:rFonts w:ascii="Arial" w:cs="Arial" w:eastAsia="Arial" w:hAnsi="Arial"/>
        <w:color w:val="AAAAAA"/>
        <w:sz w:val="18"/>
        <w:szCs w:val="18"/>
      </w:rPr>
      <w:t xml:space="preserve">OSA OBSERVATORY  —  Sprint 6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2026-05-19T13:10:54.483Z</dcterms:created>
  <dcterms:modified xsi:type="dcterms:W3CDTF">2026-05-19T13:10:54.484Z</dcterms:modified>
</cp:coreProperties>
</file>

<file path=docProps/custom.xml><?xml version="1.0" encoding="utf-8"?>
<Properties xmlns="http://schemas.openxmlformats.org/officeDocument/2006/custom-properties" xmlns:vt="http://schemas.openxmlformats.org/officeDocument/2006/docPropsVTypes"/>
</file>