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73A"/>
                <w:sz w:val="22"/>
                <w:szCs w:val="22"/>
              </w:rPr>
              <w:t xml:space="preserve">OSA OBSERVATORY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SPRINT 7 — RAPPORT FINAL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73A"/>
                <w:sz w:val="28"/>
                <w:szCs w:val="28"/>
              </w:rPr>
              <w:t xml:space="preserve">CLOS — 19 Mai 2026</w:t>
            </w:r>
          </w:p>
          <w:p>
            <w:pPr>
              <w:spacing w:after="80"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B5C9DB"/>
                <w:sz w:val="20"/>
                <w:szCs w:val="20"/>
              </w:rPr>
              <w:t xml:space="preserve">Gel bornes · ECO_FORMAL_TRAJECTORY · API Phase 1 &amp; 2 · 30 endpoints PROD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4 commits — 831e3ba → da147c7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Sprint 7 CLOS — 4 chantiers complétés — 30 endpoints opérationnels — Commits 1815ad8 / ffaae41 / c16f051 / da147c7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1. Contexte et prérequis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Sprint 7 fait suite à Sprint 6 (commits d401fac et 831e3ba) qui avait livré le pipeline L2/L3 complet, la recalibration des seuils AMAR/GENECO, le gel des bornes v1_2026, et l'intégration ILO ILOSTAT (ECO_INFORMAL_RATE/NAG/NB/MICRO).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Sprint 7 avait trois objectifs structurants : stabiliser le pipeline de normalisation (étape 3 du gel), enrichir le pilier PECO avec un indicateur de trajectoire de formalisation, et exposer 10 nouvelles vues analytiques via l'API publique.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2. Commits Sprint 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F6E56"/>
                <w:sz w:val="20"/>
                <w:szCs w:val="20"/>
              </w:rPr>
              <w:t xml:space="preserve">1815ad8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19 Mai 2026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normalize_indicator() v2 — gel bornes v1_2026 + rf.function_audit_log + repropagation L3/alerts (29.7s) + alert refresh (130.7s)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F6E56"/>
                <w:sz w:val="20"/>
                <w:szCs w:val="20"/>
              </w:rPr>
              <w:t xml:space="preserve">ffaae41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19 Mai 2026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ECO_FORMAL_TRAJECTORY : indicateur COMPUTED L3 + 538 valeurs 2012–2024 — 53/54 pays — 130 cas formalisation+ / 163 cas dé-formalisation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F6E56"/>
                <w:sz w:val="20"/>
                <w:szCs w:val="20"/>
              </w:rPr>
              <w:t xml:space="preserve">c16f051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19 Mai 2026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API Phase 1 : /sovereignty/swot + /early-warning/escalation + /early-warning/priority-queue + registres P8 (+3 pub +5 contract +5 endpoint)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F6E56"/>
                <w:sz w:val="20"/>
                <w:szCs w:val="20"/>
              </w:rPr>
              <w:t xml:space="preserve">da147c7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19 Mai 2026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API Phase 2 : /decision/priorities + /sovereignty/readiness + /early-warning/fragility + /scenarios/country + registres P8 (+4 pub +7 contract +7 endpoint)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3. Chantier 1 — Gel normalize_indicator() v2</w:t>
      </w:r>
    </w:p>
    <w:p>
      <w:pPr>
        <w:pStyle w:val="Heading2"/>
        <w:pBdr>
          <w:bottom w:val="single" w:color="2E6DA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Modification déployée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 fonction ma.normalize_indicator() a été modifiée chirurgicalement pour lire rf.normalization_bounds en priorité avant tout calcul dynamique. La version précédente calculait systématiquement MIN/MAX sur layer_id=2 à chaque appel, rendant les scores instables à chaque ajout de données.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Version précédente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v1 — calcul dynamique MIN/MAX sur layer_id=2 — instable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Nouvelle 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v2 — lecture rf.normalization_bounds (v1_2026) en priorité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Fallback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 indicateurs exclus (min=max) → calcul dynamique conservé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Amélioration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LEAST/GREATEST ajoutés — scores bornés entre 0 et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Traçabilité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rf.function_audit_log — v1 sauvegardée avant modification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Bornes figées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117 indicateurs sur période référence 2010–2020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Impact sur la distribution AMAR 2024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 gel des bornes a produit un glissement de la distribution vers le bas — les scores 2024 se normalisent sur l'échelle 2010–2020 qui est plus large. Ce glissement est analytiquement correct et représente un signal réel.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 gel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Médiane 2024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0.562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Maximum 2024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0.689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BLACK 2024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 pays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RED 2024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37 pays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ORANGE 2024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13 pays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LOW_CONFIDENCE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 pays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 tendance baissière 2020→2024 (médiane 0.571→0.473) est un signal analytique réel, pas un artefact. La couverture L3 augmente sur la même période (114→126 indicateurs), confirmant que la baisse reflète les données, pas un manque de couverture.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Les 10 pays LOW_CONFIDENCE 2024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ERI — Érythrée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0.373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SDN — Soudan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0.446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SOM — Somalie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0.462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GNQ — Guinée Éq.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0.409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STP — São Tomé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0.379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 — Comores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0.434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LBY — Libye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0.452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DJI — Djibouti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0.424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SSD — Soudan du S.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0.515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COD — RD Congo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0.420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Note : SSD (Soudan du Sud, 0.515) serait en RED si la confidence était suffisante. Ces 10 pays doivent être présentés avec la mention : "Score calculé sur données partielles — interprétation indicative uniquement."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4. Chantier 2 — ECO_FORMAL_TRAJECTORY</w:t>
      </w:r>
    </w:p>
    <w:p>
      <w:pPr>
        <w:pStyle w:val="Heading2"/>
        <w:pBdr>
          <w:bottom w:val="single" w:color="2E6DA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Définition et formule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ECO_FORMAL_TRAJECTORY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Pilier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Direction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+ (progression = gain de souveraineté)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Régime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COMPUTED — calculé directement en L3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Source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ECO_INFORMAL_RATE (ILOSTAT SDG 8.3.1, layer_id=3)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Formule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AVG(Δformal(t,t-1), Δformal(t-1,t-2)) où formal = 100 − informal_rate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Disponibilité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2012–2024 (NULL pour 2010–2011 — fenêtre glissante)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quality_flag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ESTIMATED | value_status : IMPUTED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Résultats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Lignes insérées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538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Pays couverts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53/54 (ERI absent — données source manquantes)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Période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2012–2024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Formalisation active (+)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130 cas — 24.2%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Dé-formalisation (−)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163 cas — 30.3%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Stable (≈ 0)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245 cas — 45.5%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Observation analytique : plus de cas de dé-formalisation (163) que de formalisation (130) sur 2012–2024. Cohérent avec la littérature sur l'informalité africaine post-2015 — impact COVID, fragilisation économique, informel de survie en expansion.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Note doctrinale : cet indicateur mesure la trajectoire de changement, pas le niveau absolu d'informalité. Une trajectoire positive dans un pays à 80% d'informalité est analytiquement plus significative qu'une stagnation dans un pays à 30%.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5. Chantiers 3 &amp; 4 — API Phase 1 et Phase 2</w:t>
      </w:r>
    </w:p>
    <w:p>
      <w:pPr>
        <w:pStyle w:val="Heading2"/>
        <w:pBdr>
          <w:bottom w:val="single" w:color="2E6DA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Architecture API avant / après Sprint 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 Sprint 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Countries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 endpoints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Rankings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 endpoints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Early Warning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 endpoints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Sovereignty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 endpoint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Decision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 endpoint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Scenarios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 endpoint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Predictive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 endpoints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Opportunities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 endpoint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Methodology/Release/Health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 endpoints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TOTAL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 endpoints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Tableau des endpoints déployés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0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200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Vue 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8"/>
                <w:szCs w:val="18"/>
              </w:rPr>
              <w:t xml:space="preserve">GET /api/v2/sovereignty/swot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ma.v_isa_swot_signal_engine (540 lignes/an)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8"/>
                <w:szCs w:val="18"/>
              </w:rPr>
              <w:t xml:space="preserve">GET /api/v2/sovereignty/swot/{iso3}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ma.v_isa_swot_signal_engine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8"/>
                <w:szCs w:val="18"/>
              </w:rPr>
              <w:t xml:space="preserve">GET /api/v2/early-warning/escalation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ma.v_isa_risk_escalation_engine (540 lignes/an)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8"/>
                <w:szCs w:val="18"/>
              </w:rPr>
              <w:t xml:space="preserve">GET /api/v2/early-warning/escalation/{iso3}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ma.v_isa_risk_escalation_engine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8"/>
                <w:szCs w:val="18"/>
              </w:rPr>
              <w:t xml:space="preserve">GET /api/v2/early-warning/priority-queue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ma.v_isa_national_escalation_queue (540 lignes/an)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8"/>
                <w:szCs w:val="18"/>
              </w:rPr>
              <w:t xml:space="preserve">GET /api/v2/decision/priorities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ma.v_isa_decision_priority_engine (8100 lignes)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8"/>
                <w:szCs w:val="18"/>
              </w:rPr>
              <w:t xml:space="preserve">GET /api/v2/decision/priorities/{iso3}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ma.v_isa_decision_priority_engine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8"/>
                <w:szCs w:val="18"/>
              </w:rPr>
              <w:t xml:space="preserve">GET /api/v2/sovereignty/readiness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ma.v_isa_sovereignty_readiness (67 lignes — agrégé)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8"/>
                <w:szCs w:val="18"/>
              </w:rPr>
              <w:t xml:space="preserve">GET /api/v2/early-warning/fragility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ma.v_isa_fragility_warning_engine (8100 lignes)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8"/>
                <w:szCs w:val="18"/>
              </w:rPr>
              <w:t xml:space="preserve">GET /api/v2/early-warning/fragility/{iso3}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ma.v_isa_fragility_warning_engine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8"/>
                <w:szCs w:val="18"/>
              </w:rPr>
              <w:t xml:space="preserve">GET /api/v2/scenarios/country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ma.v_isa_scenario_country_year (4050 lignes)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8"/>
                <w:szCs w:val="18"/>
              </w:rPr>
              <w:t xml:space="preserve">GET /api/v2/scenarios/country/{iso3}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ma.v_isa_scenario_country_year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Registres mis à jour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après Sprint 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mg.publication_registry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21 datasets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mg.api_contract_registry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32 endpoints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rf.isa_api_endpoint_registry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26 endpoints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5.4 Pattern d'implémentation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Tous les routers Sprint 7 suivent le pattern FastAPI établi : Depends(get_db) + db.execute(text(sql), params).mappings().all(). Methodology note légale obligatoire sur tous les endpoints Early Warning. Charte terminologique api/terminology.md appliquée.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sovereignty.py — router Phase 1 SWOT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early_warning_sprint7.py — router Phase 1 escalation + priority-queue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decision_scenarios_sprint7.py — router Phase 2 (4 routers : decision_router, sovereignty_router, ew_router, scenario_router)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6. Résultats analytiques post-Sprint 7</w:t>
      </w:r>
    </w:p>
    <w:p>
      <w:pPr>
        <w:pStyle w:val="Heading2"/>
        <w:pBdr>
          <w:bottom w:val="single" w:color="2E6DA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Distribution AMAR 2024 après gel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 pays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RED (≥ 0.55)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ORANGE (0.45–0.549)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YELLOW (0.35–0.449)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LOW_CONFIDENCE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Distribution AMAR — tendance 2020–2024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Année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Médiane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2020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0.571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2021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0.574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2022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0.557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2023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0.514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2024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0.473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Observation : la baisse 2022→2024 est un signal de relative stabilisation. Le maximum 2022 (0.723) reste le point le plus critique observé sur la période 2010–2024.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7. Infrastructure et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État post-Sprint 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PostgreSQL 17 — Windows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normalize_indicator()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v2 — gel bornes v1_2026 — LEAST/GREATEST — audit 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rf.normalization_bounds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117 bornes v1_2026 actives — référence 2010–2020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rf.function_audit_log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Traçabilité v1 → v2 complète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Pipeline L3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29.7s pour 2010–2024 — repropagé post-gel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Alert refresh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130.7s — AMAR + GENECO mis à jour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API FastAPI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30 endpoints — port 8000 — uvicorn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run_full_pipeline.ps1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v3 — orchestrateur complet avec checkpoint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8. Perspectives — Sprint 8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Sprint 8 adresse trois chantiers identifiés lors de l'audit Zachman et validés par la doctrine OSA d'observation comportementale 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Chantier Sprint 8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MON_IFF_PRESSURE — Pression de fuite financière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WB BN.KAC.EOMS.CD (erreurs/omissions BoP)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MIN_LEAKAGE_RISK — Fuite extractive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Calculé L3 depuis PRES_OIL_RENTS + MIN_GOV (EITI)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ECO_PUBLIC_LEAKAGE — Fuite finances publiques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WB GC.TAX.TOTL.GD.ZS + GC.REV.XGRT.GD.ZS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GEO_CAPTURE_RISK — Capture institutionnelle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Proxy comportemental (à définir — WGI exclu)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Rappel doctrine OSA : OSA mesure des faits observables, pas des perceptions. WGI CC.EST/RL.EST/GE.EST exclus car indices de perception. GEO_CAPTURE_RISK nécessite un proxy comportemental alternatif.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7 CLOS — 4 commits — 30 endpoints en production — Gel des bornes opérationnel — ECO_FORMAL_TRAJECTORY calculé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  <w:spacing w:after="0" w:before="120"/>
    </w:pPr>
    <w:r>
      <w:rPr>
        <w:rFonts w:ascii="Arial" w:cs="Arial" w:eastAsia="Arial" w:hAnsi="Arial"/>
        <w:color w:val="AAAAAA"/>
        <w:sz w:val="16"/>
        <w:szCs w:val="16"/>
      </w:rPr>
      <w:t xml:space="preserve">Confidentiel — Usage institutionnel 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spacing w:after="120" w:before="0"/>
    </w:pPr>
    <w:r>
      <w:rPr>
        <w:rFonts w:ascii="Arial" w:cs="Arial" w:eastAsia="Arial" w:hAnsi="Arial"/>
        <w:color w:val="AAAAAA"/>
        <w:sz w:val="18"/>
        <w:szCs w:val="18"/>
      </w:rPr>
      <w:t xml:space="preserve">OSA OBSERVATORY  —  Sprint 7 — Rapport Final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2026-05-19T13:05:48.259Z</dcterms:created>
  <dcterms:modified xsi:type="dcterms:W3CDTF">2026-05-19T13:05:48.271Z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