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500"/>
              <w:left w:type="dxa" w:w="400"/>
              <w:bottom w:type="dxa" w:w="500"/>
              <w:right w:type="dxa" w:w="400"/>
            </w:tcMar>
          </w:tcPr>
          <w:p>
            <w:pPr>
              <w:spacing w:after="200" w:before="0"/>
              <w:jc w:val="center"/>
            </w:pPr>
            <w:r>
              <w:rPr>
                <w:rFonts w:ascii="Arial" w:cs="Arial" w:eastAsia="Arial" w:hAnsi="Arial"/>
                <w:b/>
                <w:bCs/>
                <w:color w:val="C8973A"/>
                <w:sz w:val="22"/>
                <w:szCs w:val="22"/>
              </w:rPr>
              <w:t xml:space="preserve">OSA OBSERVATORY — GOUVERNANCE DES DONNÉES</w:t>
            </w:r>
          </w:p>
          <w:p>
            <w:pPr>
              <w:spacing w:after="100" w:before="0"/>
              <w:jc w:val="center"/>
            </w:pPr>
            <w:r>
              <w:rPr>
                <w:rFonts w:ascii="Arial" w:cs="Arial" w:eastAsia="Arial" w:hAnsi="Arial"/>
                <w:b/>
                <w:bCs/>
                <w:color w:val="FFFFFF"/>
                <w:sz w:val="48"/>
                <w:szCs w:val="48"/>
              </w:rPr>
              <w:t xml:space="preserve">SPRINT 9 — RAPPORT FINAL</w:t>
            </w:r>
          </w:p>
          <w:p>
            <w:pPr>
              <w:spacing w:after="120" w:before="0"/>
              <w:jc w:val="center"/>
            </w:pPr>
            <w:r>
              <w:rPr>
                <w:rFonts w:ascii="Arial" w:cs="Arial" w:eastAsia="Arial" w:hAnsi="Arial"/>
                <w:b/>
                <w:bCs/>
                <w:color w:val="C8973A"/>
                <w:sz w:val="28"/>
                <w:szCs w:val="28"/>
              </w:rPr>
              <w:t xml:space="preserve">CLOS — 21 Mai 2026</w:t>
            </w:r>
          </w:p>
          <w:p>
            <w:pPr>
              <w:spacing w:after="80" w:before="100"/>
              <w:jc w:val="center"/>
            </w:pPr>
            <w:r>
              <w:rPr>
                <w:rFonts w:ascii="Arial" w:cs="Arial" w:eastAsia="Arial" w:hAnsi="Arial"/>
                <w:i/>
                <w:iCs/>
                <w:color w:val="B5C9DB"/>
                <w:sz w:val="20"/>
                <w:szCs w:val="20"/>
              </w:rPr>
              <w:t xml:space="preserve">Qualité données · Conformité Doctrine ISA v1 · Architecture générique · Exposition API · Pipeline publication-ready</w:t>
            </w:r>
          </w:p>
          <w:p>
            <w:pPr>
              <w:spacing w:after="0" w:before="80"/>
              <w:jc w:val="center"/>
            </w:pPr>
            <w:r>
              <w:rPr>
                <w:rFonts w:ascii="Arial" w:cs="Arial" w:eastAsia="Arial" w:hAnsi="Arial"/>
                <w:color w:val="AAAAAA"/>
                <w:sz w:val="18"/>
                <w:szCs w:val="18"/>
              </w:rPr>
              <w:t xml:space="preserve">9 commits — b0be1df → 9e4b0ca</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  Sprint 9 CLOS — Pipeline publication-ready 2022 — Doctrine ISA v1 100% appliquée — 32 endpoints API</w:t>
            </w:r>
          </w:p>
        </w:tc>
      </w:tr>
    </w:tbl>
    <w:p>
      <w:r>
        <w:br w:type="page"/>
      </w:r>
    </w:p>
    <w:p>
      <w:pPr>
        <w:pStyle w:val="Heading1"/>
        <w:spacing w:after="160" w:before="400"/>
      </w:pPr>
      <w:r>
        <w:rPr>
          <w:rFonts w:ascii="Arial" w:cs="Arial" w:eastAsia="Arial" w:hAnsi="Arial"/>
          <w:b/>
          <w:bCs/>
          <w:color w:val="1B3A5C"/>
          <w:sz w:val="34"/>
          <w:szCs w:val="34"/>
        </w:rPr>
        <w:t xml:space="preserve">1. Contexte et objectifs</w:t>
      </w:r>
    </w:p>
    <w:p>
      <w:pPr>
        <w:spacing w:after="100" w:before="60"/>
      </w:pPr>
      <w:r>
        <w:rPr>
          <w:rFonts w:ascii="Arial" w:cs="Arial" w:eastAsia="Arial" w:hAnsi="Arial"/>
          <w:color w:val="2C2C2C"/>
          <w:sz w:val="22"/>
          <w:szCs w:val="22"/>
        </w:rPr>
        <w:t xml:space="preserve">Sprint 9 était planifié comme un sprint de qualité + exposition API d'une semaine, sans nouvelle collecte. La Doctrine ISA v1 avait été validée par l'expert économique. L'objectif principal : préparer les conditions de la première publication officielle OSA pour l'année 2022.</w:t>
      </w:r>
    </w:p>
    <w:p>
      <w:pPr>
        <w:spacing w:after="0" w:before="80"/>
      </w:pPr>
      <w:r>
        <w:t xml:space="preserve"/>
      </w:r>
    </w:p>
    <w:p>
      <w:pPr>
        <w:spacing w:after="100" w:before="60"/>
      </w:pPr>
      <w:r>
        <w:rPr>
          <w:rFonts w:ascii="Arial" w:cs="Arial" w:eastAsia="Arial" w:hAnsi="Arial"/>
          <w:color w:val="2C2C2C"/>
          <w:sz w:val="22"/>
          <w:szCs w:val="22"/>
        </w:rPr>
        <w:t xml:space="preserve">En cours de sprint, deux chantiers non planifiés ont émergé et transformé l'ambition du sprint : la découverte de cas de codage en dur généralisés dans les fetchers, et la migration vers une architecture générique de référentiels. Ces chantiers ont rendu l'OSA structurellement plus robuste pour les années à venir.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Décision de cadrage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Objectif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Qualité + conformité doctrinale — sprint court (1 semaine)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Doctrine ISA v1</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Validée par l'expert économique avant le sprint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Nouvelle collecte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 — aucun nouveau fetcher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Publication officielle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Date non définie — Sprint 9 prépare les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Résultat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Pipeline publication-ready pour 2022</w:t>
            </w:r>
          </w:p>
        </w:tc>
      </w:tr>
    </w:tbl>
    <w:p>
      <w:r>
        <w:br w:type="page"/>
      </w:r>
    </w:p>
    <w:p>
      <w:pPr>
        <w:pStyle w:val="Heading1"/>
        <w:spacing w:after="160" w:before="400"/>
      </w:pPr>
      <w:r>
        <w:rPr>
          <w:rFonts w:ascii="Arial" w:cs="Arial" w:eastAsia="Arial" w:hAnsi="Arial"/>
          <w:b/>
          <w:bCs/>
          <w:color w:val="1B3A5C"/>
          <w:sz w:val="34"/>
          <w:szCs w:val="34"/>
        </w:rPr>
        <w:t xml:space="preserve">2. Commits Sprint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c>
          <w:tcPr>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i w:val="false"/>
                <w:iCs w:val="false"/>
                <w:color w:val="FFFFFF"/>
                <w:sz w:val="20"/>
                <w:szCs w:val="20"/>
              </w:rPr>
              <w:t xml:space="preserve">Commit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Chantier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i/>
                <w:iCs/>
                <w:color w:val="0F6E56"/>
                <w:sz w:val="20"/>
                <w:szCs w:val="20"/>
              </w:rPr>
              <w:t xml:space="preserve">(9A+9B)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source_id + contraintes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source_id NULL corrigé L1/L2 + 5 contraintes DB + missing_reason comportemental ACLED</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i/>
                <w:iCs/>
                <w:color w:val="0F6E56"/>
                <w:sz w:val="20"/>
                <w:szCs w:val="20"/>
              </w:rPr>
              <w:t xml:space="preserve">b0be1df</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9B — Architecture générique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collect.reference_classifications + rf.countries (is_active+aliases+vue) + fetchers dynamiques EITI/SIPRI/base</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i/>
                <w:iCs/>
                <w:color w:val="0F6E56"/>
                <w:sz w:val="20"/>
                <w:szCs w:val="20"/>
              </w:rPr>
              <w:t xml:space="preserve">63c2a2f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9C — ECO_GDP bornes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ECO_GDP bornes gelées v1_2026 (1.19→19 481 USD) + recalcul L3</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i/>
                <w:iCs/>
                <w:color w:val="0F6E56"/>
                <w:sz w:val="20"/>
                <w:szCs w:val="20"/>
              </w:rPr>
              <w:t xml:space="preserve">fd4a497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9F — Libellés doctrine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Reformulation MON_IFF_PRESSURE + MIN_LEAKAGE_RISK + ECO_PUBLIC_LEAKAGE</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i/>
                <w:iCs/>
                <w:color w:val="0F6E56"/>
                <w:sz w:val="20"/>
                <w:szCs w:val="20"/>
              </w:rPr>
              <w:t xml:space="preserve">9e4b0ca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9D — API fiscal-margin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GEO_SOVEREIGN_MARGIN exposé : /sovereignty/fiscal-margin + registres (32 endpoints)</w:t>
            </w:r>
          </w:p>
        </w:tc>
      </w:tr>
    </w:tbl>
    <w:p>
      <w:r>
        <w:br w:type="page"/>
      </w:r>
    </w:p>
    <w:p>
      <w:pPr>
        <w:pStyle w:val="Heading1"/>
        <w:spacing w:after="160" w:before="400"/>
      </w:pPr>
      <w:r>
        <w:rPr>
          <w:rFonts w:ascii="Arial" w:cs="Arial" w:eastAsia="Arial" w:hAnsi="Arial"/>
          <w:b/>
          <w:bCs/>
          <w:color w:val="1B3A5C"/>
          <w:sz w:val="34"/>
          <w:szCs w:val="34"/>
        </w:rPr>
        <w:t xml:space="preserve">3. Chantier 9A — Qualité données L1/L2</w:t>
      </w:r>
    </w:p>
    <w:p>
      <w:pPr>
        <w:pStyle w:val="Heading2"/>
        <w:pBdr>
          <w:bottom w:val="single" w:color="2E6DA4" w:sz="4" w:space="4"/>
        </w:pBdr>
        <w:spacing w:after="120" w:before="280"/>
      </w:pPr>
      <w:r>
        <w:rPr>
          <w:rFonts w:ascii="Arial" w:cs="Arial" w:eastAsia="Arial" w:hAnsi="Arial"/>
          <w:b/>
          <w:bCs/>
          <w:color w:val="2E6DA4"/>
          <w:sz w:val="26"/>
          <w:szCs w:val="26"/>
        </w:rPr>
        <w:t xml:space="preserve">3.1 Correction source_id NULL</w:t>
      </w:r>
    </w:p>
    <w:p>
      <w:pPr>
        <w:spacing w:after="100" w:before="60"/>
      </w:pPr>
      <w:r>
        <w:rPr>
          <w:rFonts w:ascii="Arial" w:cs="Arial" w:eastAsia="Arial" w:hAnsi="Arial"/>
          <w:color w:val="2C2C2C"/>
          <w:sz w:val="22"/>
          <w:szCs w:val="22"/>
        </w:rPr>
        <w:t xml:space="preserve">57 898 lignes L1 et 154 256 lignes L2 avaient source_id = NULL — héritage du fetcher WB avant le fix Sprint 8. Toutes corrigées avec source_id = 11 (WB). Zéro NULL résiduel en L1 et L2 non-COMPUTED.</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3.2 Colonne missing_reason — traçabilité des données absentes</w:t>
      </w:r>
    </w:p>
    <w:p>
      <w:pPr>
        <w:spacing w:after="100" w:before="60"/>
      </w:pPr>
      <w:r>
        <w:rPr>
          <w:rFonts w:ascii="Arial" w:cs="Arial" w:eastAsia="Arial" w:hAnsi="Arial"/>
          <w:color w:val="2C2C2C"/>
          <w:sz w:val="22"/>
          <w:szCs w:val="22"/>
        </w:rPr>
        <w:t xml:space="preserve">1 590 lignes L1 ont raw_value = NULL — données structurellement absentes pour certains pays/années. Ces absences étaient documentées nulle part. Nouveau champ missing_reason VARCHAR(100) ajouté avec classification comportementale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missing_reason</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Nombre de lignes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CONFLICT_FRAGILITY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SOURCE_NOT_AVAILABLE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1 484</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B8860B" w:sz="12"/>
              <w:bottom w:val="none" w:color="FFFFFF" w:sz="0"/>
              <w:right w:val="none" w:color="FFFFFF" w:sz="0"/>
            </w:tcBorders>
            <w:shd w:fill="F8F4EE" w:val="clear"/>
            <w:tcMar>
              <w:top w:type="dxa" w:w="100"/>
              <w:left w:type="dxa" w:w="240"/>
              <w:bottom w:type="dxa" w:w="100"/>
              <w:right w:type="dxa" w:w="240"/>
            </w:tcMar>
          </w:tcPr>
          <w:p>
            <w:r>
              <w:rPr>
                <w:rFonts w:ascii="Arial" w:cs="Arial" w:eastAsia="Arial" w:hAnsi="Arial"/>
                <w:i/>
                <w:iCs/>
                <w:color w:val="2C2C2C"/>
                <w:sz w:val="20"/>
                <w:szCs w:val="20"/>
              </w:rPr>
              <w:t xml:space="preserve">Principe doctrinal appliqué : CONFLICT_FRAGILITY est déterminé par les données ACLED observées — jamais par une liste de pays 'fragiles' codée en dur. Si un pays sort du conflit, ses nouvelles années sont automatiquement SOURCE_NOT_AVAILABLE au prochain run.</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3.3 Contraintes additionnelles sur ma.indicator_values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Règle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chk_l1_source_id_not_null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source_id obligatoire en L1 — tout INSERT sans source_id échoue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chk_observed_raw_value_not_null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OBSERVED + raw_value NULL interdit — incohérence sémantique bloquée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chk_l1_missing_reason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raw_value NULL en L1 exige un missing_reason — traçabilité obligatoire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chk_country_iso3_format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Format ISO3 : exactement 3 lettres majuscules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chk_year_upper_bound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year &lt;= 2030 — borne temporelle supérieure</w:t>
            </w:r>
          </w:p>
        </w:tc>
      </w:tr>
    </w:tbl>
    <w:p>
      <w:r>
        <w:br w:type="page"/>
      </w:r>
    </w:p>
    <w:p>
      <w:pPr>
        <w:pStyle w:val="Heading1"/>
        <w:spacing w:after="160" w:before="400"/>
      </w:pPr>
      <w:r>
        <w:rPr>
          <w:rFonts w:ascii="Arial" w:cs="Arial" w:eastAsia="Arial" w:hAnsi="Arial"/>
          <w:b/>
          <w:bCs/>
          <w:color w:val="1B3A5C"/>
          <w:sz w:val="34"/>
          <w:szCs w:val="34"/>
        </w:rPr>
        <w:t xml:space="preserve">4. Chantier 9B — Architecture générique de référentiels</w:t>
      </w:r>
    </w:p>
    <w:p>
      <w:pPr>
        <w:pStyle w:val="Heading2"/>
        <w:pBdr>
          <w:bottom w:val="single" w:color="2E6DA4" w:sz="4" w:space="4"/>
        </w:pBdr>
        <w:spacing w:after="120" w:before="280"/>
      </w:pPr>
      <w:r>
        <w:rPr>
          <w:rFonts w:ascii="Arial" w:cs="Arial" w:eastAsia="Arial" w:hAnsi="Arial"/>
          <w:b/>
          <w:bCs/>
          <w:color w:val="2E6DA4"/>
          <w:sz w:val="26"/>
          <w:szCs w:val="26"/>
        </w:rPr>
        <w:t xml:space="preserve">4.1 Genèse — le problème du codage en dur</w:t>
      </w:r>
    </w:p>
    <w:p>
      <w:pPr>
        <w:spacing w:after="100" w:before="60"/>
      </w:pPr>
      <w:r>
        <w:rPr>
          <w:rFonts w:ascii="Arial" w:cs="Arial" w:eastAsia="Arial" w:hAnsi="Arial"/>
          <w:color w:val="2C2C2C"/>
          <w:sz w:val="22"/>
          <w:szCs w:val="22"/>
        </w:rPr>
        <w:t xml:space="preserve">L'audit des fetchers a révélé des listes codées en dur dans 4 fichiers : statuts EITI (fetcher_eiti_csv.py), régions SIPRI (fetcher_sipri_csv.py + fetcher_sipri_milex.py), agrégats IMF (imf_csv_parser.py). Ces listes posaient trois problèmes : elles ne se mettaient pas à jour automatiquement, elles introduisaient des jugements politiques (liste de pays 'fragiles'), et ajouter un pays nécessitait de modifier le code.</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4.2 collect.reference_classifications — table générique</w:t>
      </w:r>
    </w:p>
    <w:p>
      <w:pPr>
        <w:spacing w:after="100" w:before="60"/>
      </w:pPr>
      <w:r>
        <w:rPr>
          <w:rFonts w:ascii="Arial" w:cs="Arial" w:eastAsia="Arial" w:hAnsi="Arial"/>
          <w:color w:val="2C2C2C"/>
          <w:sz w:val="22"/>
          <w:szCs w:val="22"/>
        </w:rPr>
        <w:t xml:space="preserve">Nouvelle table collect.reference_classifications avec 36 entrées initiales (33 EITI + 3 SIPRI). Schéma : source_code, country_iso3, classification, score_value, valid_from, valid_to, metadata JSONB, source_url, updated_at.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migrée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EITI — statuts conformité</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 Python EITI_AFRICAN_MEMBERS codée en dur (32 pays)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SIPRI — labels régionaux</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Set Python SIPRI_REGION_LABELS + SUBREGIONS codés en dur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fetcher_base.py — 54 pays OSA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 Python AFRICAN_ISO3 codée en dur</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4.3 rf.countries — source de vérité unique</w:t>
      </w:r>
    </w:p>
    <w:p>
      <w:pPr>
        <w:spacing w:after="100" w:before="60"/>
      </w:pPr>
      <w:r>
        <w:rPr>
          <w:rFonts w:ascii="Arial" w:cs="Arial" w:eastAsia="Arial" w:hAnsi="Arial"/>
          <w:color w:val="2C2C2C"/>
          <w:sz w:val="22"/>
          <w:szCs w:val="22"/>
        </w:rPr>
        <w:t xml:space="preserve">Extension de rf.countries avec deux colonnes : is_active BOOLEAN (pays dans le périmètre OSA) et aliases JSONB (noms alternatifs par source). Vue rf.v_country_aliases créée pour les fetchers. 12 pays avec aliases complexes renseignés (COD, COG, CAF, SSD, SDN, TZA, CIV, SWZ, CPV, EGY, GMB, LBY).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Ajouter un pays OSA = 1 INSERT dans rf.countries (iso3, name_fr, name_en, region_code, is_active=TRUE, aliases). Tous les fetchers le voient automatiquement au prochain run.</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4.4 Cas résiduels — feuille de route Sprint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Mappings nom→ISO3 (~15 fetchers)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Faible — noms ISO3 stables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Seuils analytiques (imputer, compute_pres)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Faible — paramètres stables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Scores EITI (90/70/50/20)</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Moyen — score_value déjà dans reference_classifications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Secteurs extractifs EITI</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Faible</w:t>
            </w:r>
          </w:p>
        </w:tc>
      </w:tr>
    </w:tbl>
    <w:p>
      <w:r>
        <w:br w:type="page"/>
      </w:r>
    </w:p>
    <w:p>
      <w:pPr>
        <w:pStyle w:val="Heading1"/>
        <w:spacing w:after="160" w:before="400"/>
      </w:pPr>
      <w:r>
        <w:rPr>
          <w:rFonts w:ascii="Arial" w:cs="Arial" w:eastAsia="Arial" w:hAnsi="Arial"/>
          <w:b/>
          <w:bCs/>
          <w:color w:val="1B3A5C"/>
          <w:sz w:val="34"/>
          <w:szCs w:val="34"/>
        </w:rPr>
        <w:t xml:space="preserve">5. Chantier 9C — ECO_GDP dans rf.normalization_bounds</w:t>
      </w:r>
    </w:p>
    <w:p>
      <w:pPr>
        <w:spacing w:after="100" w:before="60"/>
      </w:pPr>
      <w:r>
        <w:rPr>
          <w:rFonts w:ascii="Arial" w:cs="Arial" w:eastAsia="Arial" w:hAnsi="Arial"/>
          <w:color w:val="2C2C2C"/>
          <w:sz w:val="22"/>
          <w:szCs w:val="22"/>
        </w:rPr>
        <w:t xml:space="preserve">ECO_GDP était exclu du gel Sprint 6 en raison d'un bug MICE (1 pays seulement en L2). Après le fix imputer_v3 Sprint 8, ECO_GDP est propre en L2 (810 lignes, 54 pays). Les bornes gelées v1_2026 ont été intégrées.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Indicateur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ECO_GDP — PIB par habitant USD courant (NY.GDP.PCAP.KD)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Période référence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2010–2020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MIN gelé</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1.19 USD (pays le plus pauvre, période référence)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MAX gelé</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19 481.65 USD (Seychelles, pic 2019)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Observations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1 188 lignes / 54 pays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Impact L3</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ECO_GDP normalisé sur bornes gelées — plus de fallback dynamique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Impact AMAR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Distribution plus homogène — disparition des RED 2020/2022</w:t>
            </w:r>
          </w:p>
        </w:tc>
      </w:tr>
    </w:tbl>
    <w:p>
      <w:r>
        <w:br w:type="page"/>
      </w:r>
    </w:p>
    <w:p>
      <w:pPr>
        <w:pStyle w:val="Heading1"/>
        <w:spacing w:after="160" w:before="400"/>
      </w:pPr>
      <w:r>
        <w:rPr>
          <w:rFonts w:ascii="Arial" w:cs="Arial" w:eastAsia="Arial" w:hAnsi="Arial"/>
          <w:b/>
          <w:bCs/>
          <w:color w:val="1B3A5C"/>
          <w:sz w:val="34"/>
          <w:szCs w:val="34"/>
        </w:rPr>
        <w:t xml:space="preserve">6. Chantiers 9E et 9F — Gouvernance doctrinale</w:t>
      </w:r>
    </w:p>
    <w:p>
      <w:pPr>
        <w:pStyle w:val="Heading2"/>
        <w:pBdr>
          <w:bottom w:val="single" w:color="2E6DA4" w:sz="4" w:space="4"/>
        </w:pBdr>
        <w:spacing w:after="120" w:before="280"/>
      </w:pPr>
      <w:r>
        <w:rPr>
          <w:rFonts w:ascii="Arial" w:cs="Arial" w:eastAsia="Arial" w:hAnsi="Arial"/>
          <w:b/>
          <w:bCs/>
          <w:color w:val="2E6DA4"/>
          <w:sz w:val="26"/>
          <w:szCs w:val="26"/>
        </w:rPr>
        <w:t xml:space="preserve">6.1 doctrine_compliance_flag dans rf.indicators</w:t>
      </w:r>
    </w:p>
    <w:p>
      <w:pPr>
        <w:spacing w:after="100" w:before="60"/>
      </w:pPr>
      <w:r>
        <w:rPr>
          <w:rFonts w:ascii="Arial" w:cs="Arial" w:eastAsia="Arial" w:hAnsi="Arial"/>
          <w:color w:val="2C2C2C"/>
          <w:sz w:val="22"/>
          <w:szCs w:val="22"/>
        </w:rPr>
        <w:t xml:space="preserve">Nouveau champ BOOLEAN dans rf.indicators pour tracer la conformité à la Doctrine ISA v1. Renseigné sur l'ensemble des 240 indicateurs actifs.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Nombre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TRUE — conformes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237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FALSE — non conformes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r>
    </w:tbl>
    <w:p>
      <w:pPr>
        <w:spacing w:after="0" w:before="80"/>
      </w:pPr>
      <w:r>
        <w:t xml:space="preserve"/>
      </w:r>
    </w:p>
    <w:p>
      <w:pPr>
        <w:spacing w:after="100" w:before="60"/>
      </w:pPr>
      <w:r>
        <w:rPr>
          <w:rFonts w:ascii="Arial" w:cs="Arial" w:eastAsia="Arial" w:hAnsi="Arial"/>
          <w:color w:val="2C2C2C"/>
          <w:sz w:val="22"/>
          <w:szCs w:val="22"/>
        </w:rPr>
        <w:t xml:space="preserve">Un nouveau check DOCTRINE_COMPLIANCE a été ajouté dans audit_pipeline.py — les indicateurs non conformes actifs apparaissent désormais dans chaque rapport d'audit avec leur justification.</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6.2 Reformulation libellés — Doctrine OSA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Ancien libellé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MON_IFF_PRESSURE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Pression de fuite financière externe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MIN_LEAKAGE_RISK</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Risque de fuite des recettes extractives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ECO_PUBLIC_LEAKAGE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Fuite des finances publiques</w:t>
            </w:r>
          </w:p>
        </w:tc>
      </w:tr>
    </w:tbl>
    <w:p>
      <w:r>
        <w:br w:type="page"/>
      </w:r>
    </w:p>
    <w:p>
      <w:pPr>
        <w:pStyle w:val="Heading1"/>
        <w:spacing w:after="160" w:before="400"/>
      </w:pPr>
      <w:r>
        <w:rPr>
          <w:rFonts w:ascii="Arial" w:cs="Arial" w:eastAsia="Arial" w:hAnsi="Arial"/>
          <w:b/>
          <w:bCs/>
          <w:color w:val="1B3A5C"/>
          <w:sz w:val="34"/>
          <w:szCs w:val="34"/>
        </w:rPr>
        <w:t xml:space="preserve">7. Chantier 9D — GEO_SOVEREIGN_MARGIN dans l'API</w:t>
      </w:r>
    </w:p>
    <w:p>
      <w:pPr>
        <w:spacing w:after="100" w:before="60"/>
      </w:pPr>
      <w:r>
        <w:rPr>
          <w:rFonts w:ascii="Arial" w:cs="Arial" w:eastAsia="Arial" w:hAnsi="Arial"/>
          <w:color w:val="2C2C2C"/>
          <w:sz w:val="22"/>
          <w:szCs w:val="22"/>
        </w:rPr>
        <w:t xml:space="preserve">Premier endpoint Doctrine OSA v1 exposé publiquement. GEO_SOVEREIGN_MARGIN (1 − ECO_PUBLIC_LEAKAGE normalisé) est désormais accessible via deux endpoints REST.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/api/v2/sovereignty/fiscal-margin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Marge souveraineté fiscale — tous pays, triée par score décroissant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/api/v2/sovereignty/fiscal-margin/{iso3}</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Série temporelle 2010–2024 pour un pays donné</w:t>
            </w:r>
          </w:p>
        </w:tc>
      </w:tr>
    </w:tbl>
    <w:p>
      <w:pPr>
        <w:spacing w:after="0" w:before="80"/>
      </w:pPr>
      <w:r>
        <w:t xml:space="preserve"/>
      </w:r>
    </w:p>
    <w:p>
      <w:pPr>
        <w:spacing w:after="100" w:before="60"/>
      </w:pPr>
      <w:r>
        <w:rPr>
          <w:rFonts w:ascii="Arial" w:cs="Arial" w:eastAsia="Arial" w:hAnsi="Arial"/>
          <w:color w:val="2C2C2C"/>
          <w:sz w:val="22"/>
          <w:szCs w:val="22"/>
        </w:rPr>
        <w:t xml:space="preserve">Test de validation (21 Mai 2026 19:51) : HTTP 200, LBY en tête avec score 0.6462, confidence 0.40. Top 5 pays 2024 : MLI (0.615), CAF (0.590), LBY (0.589), ZWE (0.581), GAB (0.563).</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B8860B" w:sz="12"/>
              <w:bottom w:val="none" w:color="FFFFFF" w:sz="0"/>
              <w:right w:val="none" w:color="FFFFFF" w:sz="0"/>
            </w:tcBorders>
            <w:shd w:fill="F8F4EE" w:val="clear"/>
            <w:tcMar>
              <w:top w:type="dxa" w:w="100"/>
              <w:left w:type="dxa" w:w="240"/>
              <w:bottom w:type="dxa" w:w="100"/>
              <w:right w:type="dxa" w:w="240"/>
            </w:tcMar>
          </w:tcPr>
          <w:p>
            <w:r>
              <w:rPr>
                <w:rFonts w:ascii="Arial" w:cs="Arial" w:eastAsia="Arial" w:hAnsi="Arial"/>
                <w:i/>
                <w:iCs/>
                <w:color w:val="2C2C2C"/>
                <w:sz w:val="20"/>
                <w:szCs w:val="20"/>
              </w:rPr>
              <w:t xml:space="preserve">Note doctrinale API : score élevé = potentiel de mobilisation fiscale non encore exploité — jamais qualifié de capture institutionnelle. Libellé public : Fiscal Sovereign Margin — Mobilisable Revenue Gap.</w:t>
            </w:r>
          </w:p>
        </w:tc>
      </w:tr>
    </w:tbl>
    <w:p>
      <w:r>
        <w:br w:type="page"/>
      </w:r>
    </w:p>
    <w:p>
      <w:pPr>
        <w:pStyle w:val="Heading1"/>
        <w:spacing w:after="160" w:before="400"/>
      </w:pPr>
      <w:r>
        <w:rPr>
          <w:rFonts w:ascii="Arial" w:cs="Arial" w:eastAsia="Arial" w:hAnsi="Arial"/>
          <w:b/>
          <w:bCs/>
          <w:color w:val="1B3A5C"/>
          <w:sz w:val="34"/>
          <w:szCs w:val="34"/>
        </w:rPr>
        <w:t xml:space="preserve">8. Audit final Sprint 9 — 21 Mai 2026 22:00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Sprint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DOUBLONS_L1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L1_SOURCE_NULL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57 898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L1_SANS_L2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L2_PAYS_INSUFFISANT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L3_CONFIDENCE_NULL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L3_HORS_BORNES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DOCTRINE_COMPLIANCE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AMAR_LOW_CONFIDENCE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r>
    </w:tbl>
    <w:p>
      <w:pPr>
        <w:spacing w:after="0" w:before="80"/>
      </w:pPr>
      <w:r>
        <w:t xml:space="preserve"/>
      </w:r>
    </w:p>
    <w:p>
      <w:pPr>
        <w:spacing w:after="100" w:before="60"/>
      </w:pPr>
      <w:r>
        <w:rPr>
          <w:rFonts w:ascii="Arial" w:cs="Arial" w:eastAsia="Arial" w:hAnsi="Arial"/>
          <w:color w:val="2C2C2C"/>
          <w:sz w:val="22"/>
          <w:szCs w:val="22"/>
        </w:rPr>
        <w:t xml:space="preserve">Les 3 ATTENTIONs résiduelles sont toutes documentées et planifiées : PGEO_MINE_COORD (exclusion délibérée à documenter), 94 indicateurs NON COLLECTÉS (feuille de route), 3 WGI non conformes (Sprint 10).</w:t>
      </w:r>
    </w:p>
    <w:p>
      <w:r>
        <w:br w:type="page"/>
      </w:r>
    </w:p>
    <w:p>
      <w:pPr>
        <w:pStyle w:val="Heading1"/>
        <w:spacing w:after="160" w:before="400"/>
      </w:pPr>
      <w:r>
        <w:rPr>
          <w:rFonts w:ascii="Arial" w:cs="Arial" w:eastAsia="Arial" w:hAnsi="Arial"/>
          <w:b/>
          <w:bCs/>
          <w:color w:val="1B3A5C"/>
          <w:sz w:val="34"/>
          <w:szCs w:val="34"/>
        </w:rPr>
        <w:t xml:space="preserve">9. Distribution AMAR post-Sprint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Année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Sprint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2020</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 RED, 44 ORANGE, 6 YELLOW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2022</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 RED, 33 ORANGE, 20 YELLOW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RED, 2 ORANGE, 52 YELLOW</w:t>
            </w:r>
          </w:p>
        </w:tc>
      </w:tr>
    </w:tbl>
    <w:p>
      <w:pPr>
        <w:spacing w:after="0" w:before="80"/>
      </w:pPr>
      <w:r>
        <w:t xml:space="preserve"/>
      </w:r>
    </w:p>
    <w:p>
      <w:pPr>
        <w:spacing w:after="100" w:before="60"/>
      </w:pPr>
      <w:r>
        <w:rPr>
          <w:rFonts w:ascii="Arial" w:cs="Arial" w:eastAsia="Arial" w:hAnsi="Arial"/>
          <w:color w:val="2C2C2C"/>
          <w:sz w:val="22"/>
          <w:szCs w:val="22"/>
        </w:rPr>
        <w:t xml:space="preserve">La disparition des RED confirme que les anciens scores élevés provenaient en partie du fallback dynamique d'ECO_GDP. Les bornes gelées produisent une distribution plus stable et analytiquement cohérente.</w:t>
      </w:r>
    </w:p>
    <w:p>
      <w:r>
        <w:br w:type="page"/>
      </w:r>
    </w:p>
    <w:p>
      <w:pPr>
        <w:pStyle w:val="Heading1"/>
        <w:spacing w:after="160" w:before="400"/>
      </w:pPr>
      <w:r>
        <w:rPr>
          <w:rFonts w:ascii="Arial" w:cs="Arial" w:eastAsia="Arial" w:hAnsi="Arial"/>
          <w:b/>
          <w:bCs/>
          <w:color w:val="1B3A5C"/>
          <w:sz w:val="34"/>
          <w:szCs w:val="34"/>
        </w:rPr>
        <w:t xml:space="preserve">10. Checklist publication 2022 — État post-Sprint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État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Pipeline L1/L2/L3 propre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Validé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Zéro doublon L1</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 Validé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Zéro confidence_score NULL L3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Validé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source_id traçable sur toutes lignes L1</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 Corrigé Sprint 9A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missing_reason pour tous les NULL L1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Créé Sprint 9A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Contraintes DB intégrité données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 6 contraintes Sprint 9A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ECO_GDP normalisé sur bornes gelées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Corrigé Sprint 9C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doctrine_compliance_flag renseigné</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 Créé Sprint 9E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Libellés conformes Doctrine ISA v1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Reformulés Sprint 9F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GEO_SOVEREIGN_MARGIN exposé en API</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 Sprint 9D — HTTP 200 validé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Architecture référentiels générique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collect.reference_classifications + rf.countries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Distribution AMAR 2022 publiable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 1 ORANGE, 53 YELLOW, 0 LOW_CONFIDENCE</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10.1 Ce qui reste pour la publication (Sprint 10+)</w:t>
      </w:r>
    </w:p>
    <w:p>
      <w:pPr>
        <w:pStyle w:val="ListParagraph"/>
        <w:numPr>
          <w:ilvl w:val="0"/>
          <w:numId w:val="2"/>
        </w:numPr>
        <w:spacing w:after="60" w:before="40"/>
      </w:pPr>
      <w:r>
        <w:rPr>
          <w:rFonts w:ascii="Arial" w:cs="Arial" w:eastAsia="Arial" w:hAnsi="Arial"/>
          <w:b/>
          <w:bCs/>
          <w:color w:val="1B3A5C"/>
          <w:sz w:val="22"/>
          <w:szCs w:val="22"/>
        </w:rPr>
        <w:t xml:space="preserve">Conformité doctrinale : </w:t>
      </w:r>
      <w:r>
        <w:rPr>
          <w:rFonts w:ascii="Arial" w:cs="Arial" w:eastAsia="Arial" w:hAnsi="Arial"/>
          <w:color w:val="2C2C2C"/>
          <w:sz w:val="22"/>
          <w:szCs w:val="22"/>
        </w:rPr>
        <w:t xml:space="preserve">Remplacer les 3 indicateurs WGI résiduels par des proxies comportementaux conformes.</w:t>
      </w:r>
    </w:p>
    <w:p>
      <w:pPr>
        <w:pStyle w:val="ListParagraph"/>
        <w:numPr>
          <w:ilvl w:val="0"/>
          <w:numId w:val="2"/>
        </w:numPr>
        <w:spacing w:after="60" w:before="40"/>
      </w:pPr>
      <w:r>
        <w:rPr>
          <w:rFonts w:ascii="Arial" w:cs="Arial" w:eastAsia="Arial" w:hAnsi="Arial"/>
          <w:b/>
          <w:bCs/>
          <w:color w:val="1B3A5C"/>
          <w:sz w:val="22"/>
          <w:szCs w:val="22"/>
        </w:rPr>
        <w:t xml:space="preserve">Communication : </w:t>
      </w:r>
      <w:r>
        <w:rPr>
          <w:rFonts w:ascii="Arial" w:cs="Arial" w:eastAsia="Arial" w:hAnsi="Arial"/>
          <w:color w:val="2C2C2C"/>
          <w:sz w:val="22"/>
          <w:szCs w:val="22"/>
        </w:rPr>
        <w:t xml:space="preserve">Note méthodologique publique — document technique vulgarisé pour les partenaires institutionnels.</w:t>
      </w:r>
    </w:p>
    <w:p>
      <w:pPr>
        <w:pStyle w:val="ListParagraph"/>
        <w:numPr>
          <w:ilvl w:val="0"/>
          <w:numId w:val="2"/>
        </w:numPr>
        <w:spacing w:after="60" w:before="40"/>
      </w:pPr>
      <w:r>
        <w:rPr>
          <w:rFonts w:ascii="Arial" w:cs="Arial" w:eastAsia="Arial" w:hAnsi="Arial"/>
          <w:b/>
          <w:bCs/>
          <w:color w:val="1B3A5C"/>
          <w:sz w:val="22"/>
          <w:szCs w:val="22"/>
        </w:rPr>
        <w:t xml:space="preserve">Revue externe : </w:t>
      </w:r>
      <w:r>
        <w:rPr>
          <w:rFonts w:ascii="Arial" w:cs="Arial" w:eastAsia="Arial" w:hAnsi="Arial"/>
          <w:color w:val="2C2C2C"/>
          <w:sz w:val="22"/>
          <w:szCs w:val="22"/>
        </w:rPr>
        <w:t xml:space="preserve">Validation scientifique externe — relecture par un comité académique africain.</w:t>
      </w:r>
    </w:p>
    <w:p>
      <w:pPr>
        <w:pStyle w:val="ListParagraph"/>
        <w:numPr>
          <w:ilvl w:val="0"/>
          <w:numId w:val="2"/>
        </w:numPr>
        <w:spacing w:after="60" w:before="40"/>
      </w:pPr>
      <w:r>
        <w:rPr>
          <w:rFonts w:ascii="Arial" w:cs="Arial" w:eastAsia="Arial" w:hAnsi="Arial"/>
          <w:b/>
          <w:bCs/>
          <w:color w:val="1B3A5C"/>
          <w:sz w:val="22"/>
          <w:szCs w:val="22"/>
        </w:rPr>
        <w:t xml:space="preserve">Périmètre : </w:t>
      </w:r>
      <w:r>
        <w:rPr>
          <w:rFonts w:ascii="Arial" w:cs="Arial" w:eastAsia="Arial" w:hAnsi="Arial"/>
          <w:color w:val="2C2C2C"/>
          <w:sz w:val="22"/>
          <w:szCs w:val="22"/>
        </w:rPr>
        <w:t xml:space="preserve">Définir l'année de référence et le périmètre de la première publication (2022 seule ou 2020–2022).</w:t>
      </w:r>
    </w:p>
    <w:p>
      <w:pPr>
        <w:pStyle w:val="ListParagraph"/>
        <w:numPr>
          <w:ilvl w:val="0"/>
          <w:numId w:val="2"/>
        </w:numPr>
        <w:spacing w:after="60" w:before="40"/>
      </w:pPr>
      <w:r>
        <w:rPr>
          <w:rFonts w:ascii="Arial" w:cs="Arial" w:eastAsia="Arial" w:hAnsi="Arial"/>
          <w:b/>
          <w:bCs/>
          <w:color w:val="1B3A5C"/>
          <w:sz w:val="22"/>
          <w:szCs w:val="22"/>
        </w:rPr>
        <w:t xml:space="preserve">Date : </w:t>
      </w:r>
      <w:r>
        <w:rPr>
          <w:rFonts w:ascii="Arial" w:cs="Arial" w:eastAsia="Arial" w:hAnsi="Arial"/>
          <w:color w:val="2C2C2C"/>
          <w:sz w:val="22"/>
          <w:szCs w:val="22"/>
        </w:rPr>
        <w:t xml:space="preserve">Décision formelle sur la date officielle de lancement.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Sprint 9 CLOS — Pipeline OSA en état de publication potentielle pour 2022. La décision de publier est séparée de la capacité technique à publier. OSA est prêt.</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after="0" w:before="120"/>
    </w:pPr>
    <w:r>
      <w:rPr>
        <w:rFonts w:ascii="Arial" w:cs="Arial" w:eastAsia="Arial" w:hAnsi="Arial"/>
        <w:color w:val="AAAAAA"/>
        <w:sz w:val="16"/>
        <w:szCs w:val="16"/>
      </w:rPr>
      <w:t xml:space="preserve">Confidentiel — Usage institutionnel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before="0"/>
    </w:pPr>
    <w:r>
      <w:rPr>
        <w:rFonts w:ascii="Arial" w:cs="Arial" w:eastAsia="Arial" w:hAnsi="Arial"/>
        <w:color w:val="AAAAAA"/>
        <w:sz w:val="18"/>
        <w:szCs w:val="18"/>
      </w:rPr>
      <w:t xml:space="preserve">OSA OBSERVATORY  —  Sprint 9 — Rapport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2026-05-21T20:08:29.192Z</dcterms:created>
  <dcterms:modified xsi:type="dcterms:W3CDTF">2026-05-21T20:08:29.204Z</dcterms:modified>
</cp:coreProperties>
</file>

<file path=docProps/custom.xml><?xml version="1.0" encoding="utf-8"?>
<Properties xmlns="http://schemas.openxmlformats.org/officeDocument/2006/custom-properties" xmlns:vt="http://schemas.openxmlformats.org/officeDocument/2006/docPropsVTypes"/>
</file>