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4A1A"/>
          <w:sz w:val="60"/>
          <w:szCs w:val="60"/>
        </w:rPr>
        <w:t xml:space="preserve">OSA OBSERVATORY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6B2A"/>
          <w:sz w:val="24"/>
          <w:szCs w:val="24"/>
        </w:rPr>
        <w:t xml:space="preserve">Observatoire de la Souveraineté Africaine</w:t>
      </w:r>
    </w:p>
    <w:p>
      <w:pPr>
        <w:pBdr>
          <w:top w:val="single" w:color="C8973A" w:sz="16"/>
        </w:pBdr>
        <w:spacing w:after="80" w:before="400"/>
        <w:jc w:val="center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F4A1A"/>
          <w:sz w:val="48"/>
          <w:szCs w:val="48"/>
        </w:rPr>
        <w:t xml:space="preserve">RAPPORT DE CLÔTURE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6B2A"/>
          <w:sz w:val="40"/>
          <w:szCs w:val="40"/>
        </w:rPr>
        <w:t xml:space="preserve">SPRINT 30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C8973A"/>
          <w:sz w:val="24"/>
          <w:szCs w:val="24"/>
        </w:rPr>
        <w:t xml:space="preserve">Gouvernance, E-Participation et Infrastructure Affiliée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5A7A5A"/>
          <w:sz w:val="22"/>
          <w:szCs w:val="22"/>
        </w:rPr>
        <w:t xml:space="preserve">Juin – Juillet 2026</w:t>
      </w:r>
    </w:p>
    <w:p>
      <w:pPr>
        <w:pBdr>
          <w:bottom w:val="single" w:color="C8973A" w:sz="16"/>
        </w:pBdr>
        <w:spacing w:after="60" w:before="0"/>
        <w:jc w:val="center"/>
      </w:pPr>
    </w:p>
    <w:p>
      <w:pPr>
        <w:spacing w:after="60" w:before="6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Conseil technique OSA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A7A5A"/>
          <w:sz w:val="20"/>
          <w:szCs w:val="20"/>
        </w:rPr>
        <w:t xml:space="preserve">HEAD : 6da4930 — 2 juillet 2026</w:t>
      </w:r>
    </w:p>
    <w:p>
      <w:r>
        <w:br w:type="page"/>
      </w:r>
    </w:p>
    <w:p>
      <w:pPr>
        <w:pStyle w:val="Heading1"/>
        <w:pBdr>
          <w:bottom w:val="single" w:color="C8973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4A1A"/>
          <w:sz w:val="34"/>
          <w:szCs w:val="34"/>
        </w:rPr>
        <w:t xml:space="preserve">1. Bilan du Sprint 30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1A"/>
          <w:sz w:val="20"/>
          <w:szCs w:val="20"/>
        </w:rPr>
        <w:t xml:space="preserve">Le Sprint 30 constitue la livraison la plus substantielle depuis le lancement de l'OSA Observatory. Il couvre l'intégralité de la chaîne de gouvernance utilisateur — de l'inscription d'un visiteur jusqu'à sa nomination dans un comité scientifique — et pose les fondations de l'E-Participation collaborative sur les 10 piliers de souveraineté.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826"/>
      </w:tblGrid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1A6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Lot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1A6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1A6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F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Endpoint /opendata/countries/{iso3}/identity + Country.jsx nom complet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ba18633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G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Endpoint /opendata/indicators/{pillar} + Pillar.jsx dynamique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a1ceab0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H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Country.jsx page résumé (4 cartouches + 10 piliers) + CountryISA.jsx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8e3f6a6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A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Schema mg.affiliates + mg.affiliate_roles (6 rôles) + mg.affiliate_sessions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9f9beb9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B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POST /api/v1/affiliation/request + email SMTP Gandi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c8c944c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C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Authentification JWT affiliés (login/me/logout, 24h, bcrypt)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b0d6e76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E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Préprod preprod.osa-observatory.africa (HTTPS, auth HTTP basique)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(existant)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D1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Contributions traçables (mg.pilot_tickets.affiliate_id + historique)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1744ca6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D2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Commentaires structurés 5W1H/SWOT/5P (COMITE_TECH/SCI/ETHIQUE)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53fd93e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D3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Votes méthodologiques (COMITE_SCI exclusif, résultats masqués)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b8893fe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D4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Groupes de travail des piliers (10 groupes, invitation, historique)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6da4930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R1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Auto-activation email PENDING_EMAIL → AFFILIATED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0020be6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R2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File d'examen 3 niveaux (référentiels/politiques/workflow)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1fe6f32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R3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Cooptation comités (proposals/memberships/mandats)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cd6f369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R4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Anti-abus (rate-limiting/journalisation/dashboard/CAPTCHA signal)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f1e3dff</w:t>
            </w:r>
          </w:p>
        </w:tc>
      </w:tr>
      <w:tr>
        <w:tc>
          <w:tcPr>
            <w:tcW w:type="dxa" w:w="12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UX</w:t>
            </w:r>
          </w:p>
        </w:tc>
        <w:tc>
          <w:tcPr>
            <w:tcW w:type="dxa" w:w="5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9"/>
                <w:szCs w:val="19"/>
              </w:rPr>
              <w:t xml:space="preserve">Register.jsx refonte cohérence PENDING_EMAIL</w:t>
            </w:r>
          </w:p>
        </w:tc>
        <w:tc>
          <w:tcPr>
            <w:tcW w:type="dxa" w:w="28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7"/>
                <w:szCs w:val="17"/>
              </w:rPr>
              <w:t xml:space="preserve">0e1e3bf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8973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4A1A"/>
          <w:sz w:val="34"/>
          <w:szCs w:val="34"/>
        </w:rPr>
        <w:t xml:space="preserve">2. Architecture de Gouvernance — Chaîne Complète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1A"/>
          <w:sz w:val="20"/>
          <w:szCs w:val="20"/>
        </w:rPr>
        <w:t xml:space="preserve">Le Sprint 30 réalise l'objectif doctrinal de distinction entre trois notions jusqu'alors imbriquées 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4F8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4A1A"/>
                <w:sz w:val="22"/>
                <w:szCs w:val="22"/>
              </w:rPr>
              <w:t xml:space="preserve">Affiliation (accès)  →  Contribution (qualité évaluée)  →  Gouvernance (comités par cooptation)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2.1 Chaîne Affilié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1A"/>
          <w:sz w:val="20"/>
          <w:szCs w:val="20"/>
        </w:rPr>
        <w:t xml:space="preserve">Demande d'affiliation (Register.jsx) → PENDING_EMAIL → Email de confirmation → AFFILIATED automatique → Invitation dans un groupe de travail → Contribution D1/D2/D3 → Évaluation R2 (4 critères) → Cooptation R3 → Nomination comité → Participation à la gouvernance scientifique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2.2 Nouveaux Référentiels en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1A6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1A6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mg.review_steps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Étapes d'évaluation (TECHNICAL/SCIENTIFIC/ETHICAL/LINGUISTIC)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mg.review_verdicts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Verdicts par critère (11 valeurs)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mg.review_policies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Politiques de décision (NEXT/REQUEST_REVISION/STOP/REJECT)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mg.workflow_states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États du workflow de contribution (7 états)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mg.workflow_transitions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Transitions autorisées entre états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mg.workflow_history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Historique traçable de chaque transition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mg.committees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Référentiel des comités OSA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mg.cooptation_proposals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Propositions de cooptation (PROPOSED→DEFERRED→APPROVED)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mg.committee_memberships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Mandats des membres de comités avec dates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mg.group_roles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Rôles dans les groupes (MEMBER/COORDINATOR/RAPPORTEUR/OBSERVER)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mg.working_groups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10 groupes fixes (1 par pilier ISA, display_order doctrinal)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mg.working_group_members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Membres avec INVITED/ACTIVE/INACTIVE et historique complet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mg.group_occupation_policies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Seuils d'occupation pilotés par données (non codés en dur)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mg.event_types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Référentiel des 11 types d'événements de sécurité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mg.rate_limit_policies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Politiques de rate-limiting par IP/EMAIL/DOMAIN</w:t>
            </w:r>
          </w:p>
        </w:tc>
      </w:tr>
      <w:tr>
        <w:tc>
          <w:tcPr>
            <w:tcW w:type="dxa" w:w="3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8"/>
                <w:szCs w:val="18"/>
              </w:rPr>
              <w:t xml:space="preserve">mg.security_events</w:t>
            </w:r>
          </w:p>
        </w:tc>
        <w:tc>
          <w:tcPr>
            <w:tcW w:type="dxa" w:w="6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Journal de sécurité avec processed/processed_at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8973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4A1A"/>
          <w:sz w:val="34"/>
          <w:szCs w:val="34"/>
        </w:rPr>
        <w:t xml:space="preserve">3. Décisions Doctrinales Actées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3.1 GAF EPARTICIPATION_ROLE_MATRIX_001 — ORIENTED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1A"/>
          <w:sz w:val="20"/>
          <w:szCs w:val="20"/>
        </w:rPr>
        <w:t xml:space="preserve">6 rôles actés : ADMIN, COMITE_TECH, COMITE_SCI, COMITE_ETHIQUE (prospectif — futur Indice Africain de Gouvernance), AFFILIE, OBSERVATEUR. Matrice des droits par sous-lot D1-D4 validée.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3.2 GAF AFFILIATION_WORKFLOW_REVISION_001 — ORIENTED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1A"/>
          <w:sz w:val="20"/>
          <w:szCs w:val="20"/>
        </w:rPr>
        <w:t xml:space="preserve">Remplacement complet du workflow PENDING manuel (Lot B initial) par auto-activation email. Distinction stricte affiliation/contribution/gouvernance. Aucune restriction de domaine email.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3.3 Architecture à 3 niveaux pour R2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1A"/>
          <w:sz w:val="20"/>
          <w:szCs w:val="20"/>
        </w:rPr>
        <w:t xml:space="preserve">Référentiels (quoi) → Politiques (quoi faire) → Workflow (dans quel ordre). Aucun seuil ou règle codé en dur — tout est piloté par les données. Cohérent avec mg.review_policies, mg.group_occupation_policies.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3.4 Consentement dans les groupes de travail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1A"/>
          <w:sz w:val="20"/>
          <w:szCs w:val="20"/>
        </w:rPr>
        <w:t xml:space="preserve">L'acceptation d'une invitation dans un groupe de travail est réservée exclusivement à l'affilié concerné. Le Comité technique peut inviter et transférer, mais ne peut pas accepter à la place de l'intéressé.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3.5 Cooptation vs candidature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1A"/>
          <w:sz w:val="20"/>
          <w:szCs w:val="20"/>
        </w:rPr>
        <w:t xml:space="preserve">Un affilié ne peut jamais se porter candidat à un comité. La cooptation résulte de l'observation des contributions par le Comité technique, suivie d'une proposition et d'une validation administrative. Mandats avec start_date/end_date pour éviter les nominations permanentes.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8973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4A1A"/>
          <w:sz w:val="34"/>
          <w:szCs w:val="34"/>
        </w:rPr>
        <w:t xml:space="preserve">4. Données Institutionnelles en 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1A6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Entité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1A6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35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1A6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Daniel Théo Bakang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OSA-2026-0017, id=8, theophile.bakang@gmail.com</w:t>
            </w:r>
          </w:p>
        </w:tc>
        <w:tc>
          <w:tcPr>
            <w:tcW w:type="dxa" w:w="35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A"/>
                <w:sz w:val="18"/>
                <w:szCs w:val="18"/>
              </w:rPr>
              <w:t xml:space="preserve">AFFILIATED, PMIN, COMITE_SCI à compter 2026-09-01</w:t>
            </w:r>
          </w:p>
        </w:tc>
      </w:tr>
      <w:tr>
        <w:tc>
          <w:tcPr>
            <w:tcW w:type="dxa" w:w="2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Comité Technique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id=14, comite.tech@osa-observatory.africa</w:t>
            </w:r>
          </w:p>
        </w:tc>
        <w:tc>
          <w:tcPr>
            <w:tcW w:type="dxa" w:w="35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A"/>
                <w:sz w:val="18"/>
                <w:szCs w:val="18"/>
              </w:rPr>
              <w:t xml:space="preserve">Compte institutionnel COMITE_TECH</w:t>
            </w:r>
          </w:p>
        </w:tc>
      </w:tr>
      <w:tr>
        <w:tc>
          <w:tcPr>
            <w:tcW w:type="dxa" w:w="2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id=15, admin@osa-observatory.africa</w:t>
            </w:r>
          </w:p>
        </w:tc>
        <w:tc>
          <w:tcPr>
            <w:tcW w:type="dxa" w:w="35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A"/>
                <w:sz w:val="18"/>
                <w:szCs w:val="18"/>
              </w:rPr>
              <w:t xml:space="preserve">Compte institutionnel ADMIN</w:t>
            </w:r>
          </w:p>
        </w:tc>
      </w:tr>
      <w:tr>
        <w:tc>
          <w:tcPr>
            <w:tcW w:type="dxa" w:w="2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Ticket OSA-2026-0017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Demande affiliation Daniel Théo Bakang</w:t>
            </w:r>
          </w:p>
        </w:tc>
        <w:tc>
          <w:tcPr>
            <w:tcW w:type="dxa" w:w="35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A"/>
                <w:sz w:val="18"/>
                <w:szCs w:val="18"/>
              </w:rPr>
              <w:t xml:space="preserve">Évaluation TECHNICAL FEASIBLE (2026-07-01)</w:t>
            </w:r>
          </w:p>
        </w:tc>
      </w:tr>
      <w:tr>
        <w:tc>
          <w:tcPr>
            <w:tcW w:type="dxa" w:w="2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Cooptation #1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Daniel Théo Bakang → COMITE_SCI</w:t>
            </w:r>
          </w:p>
        </w:tc>
        <w:tc>
          <w:tcPr>
            <w:tcW w:type="dxa" w:w="35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A"/>
                <w:sz w:val="18"/>
                <w:szCs w:val="18"/>
              </w:rPr>
              <w:t xml:space="preserve">APPROVED, effective 2026-09-01</w:t>
            </w:r>
          </w:p>
        </w:tc>
      </w:tr>
      <w:tr>
        <w:tc>
          <w:tcPr>
            <w:tcW w:type="dxa" w:w="20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Groupe PMIN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1A"/>
                <w:sz w:val="18"/>
                <w:szCs w:val="18"/>
              </w:rPr>
              <w:t xml:space="preserve">Groupe Minier des piliers</w:t>
            </w:r>
          </w:p>
        </w:tc>
        <w:tc>
          <w:tcPr>
            <w:tcW w:type="dxa" w:w="35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2A"/>
                <w:sz w:val="18"/>
                <w:szCs w:val="18"/>
              </w:rPr>
              <w:t xml:space="preserve">1 membre ACTIVE (Daniel Théo Bakang)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8973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4A1A"/>
          <w:sz w:val="34"/>
          <w:szCs w:val="34"/>
        </w:rPr>
        <w:t xml:space="preserve">5. Points Ouverts — Report Sprint 31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5.1 Cloudflare Turnstile (R4.4 — BLOQUÉ)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3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Prérequis manquant : compte Cloudflare avec domaine open.osa-observatory.africa configuré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logique API R4.4 est prête (signal captcha_required: true dans réponse 429). L'intégration frontend/backend nécessite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un compte Cloudflare et ajouter le domaine osa-observatory.africa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Créer un site Turnstile mode Managed pour open.osa-observatory.africa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Récupérer sitekey + secret_key et ajouter secret_key dans docker/.env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7A5A"/>
                <w:sz w:val="19"/>
                <w:szCs w:val="19"/>
              </w:rPr>
              <w:t xml:space="preserve">Une fois les clés disponibles, intégration estimée &lt; 1 heure.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5.2 CGU /terms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1A"/>
          <w:sz w:val="20"/>
          <w:szCs w:val="20"/>
        </w:rPr>
        <w:t xml:space="preserve">Page /terms non existante. Register.jsx contient un placeholder. À rédiger et publier avant lancement institutionnel septembre 2027.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5.3 Endpoint /resend-confirmation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1A"/>
          <w:sz w:val="20"/>
          <w:szCs w:val="20"/>
        </w:rPr>
        <w:t xml:space="preserve">POST /api/v1/affiliation/resend-confirmation non implémenté. Register.jsx pointe vers /register comme workaround. À implémenter en Sprint 31.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5.4 Points Techniques Permanents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Collecte 2025 (WB WDI, IMF WEO, FAO, ACLED, SIPRI, WHO)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PMIN_SMUGGLING reste à L1 — cache BACI 2022-2024 non encore disponible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ACLED 2023 SDN — investigation pipeline Sudan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GENECO v2 — décision d'indépendance doctrinale (GAF finding #21 OPEN)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PENV_FOREST_SOVEREIGNTY — valeur aberrante AGO 2024 (interpolation WB quinquennale)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8973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4A1A"/>
          <w:sz w:val="34"/>
          <w:szCs w:val="34"/>
        </w:rPr>
        <w:t xml:space="preserve">6. État de l'Infrastructure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1A6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1A6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3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1A6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osa-api (port 8000)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✓ Healthy</w:t>
            </w:r>
          </w:p>
        </w:tc>
        <w:tc>
          <w:tcPr>
            <w:tcW w:type="dxa" w:w="3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8"/>
                <w:szCs w:val="18"/>
              </w:rPr>
              <w:t xml:space="preserve">HEAD 6da4930</w:t>
            </w:r>
          </w:p>
        </w:tc>
      </w:tr>
      <w:tr>
        <w:tc>
          <w:tcPr>
            <w:tcW w:type="dxa" w:w="2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osa-api-preprod (port 8001)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✓ Healthy</w:t>
            </w:r>
          </w:p>
        </w:tc>
        <w:tc>
          <w:tcPr>
            <w:tcW w:type="dxa" w:w="3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8"/>
                <w:szCs w:val="18"/>
              </w:rPr>
              <w:t xml:space="preserve">Synchronisée à chaque lot</w:t>
            </w:r>
          </w:p>
        </w:tc>
      </w:tr>
      <w:tr>
        <w:tc>
          <w:tcPr>
            <w:tcW w:type="dxa" w:w="2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osa-db PostgreSQL 17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✓ Running</w:t>
            </w:r>
          </w:p>
        </w:tc>
        <w:tc>
          <w:tcPr>
            <w:tcW w:type="dxa" w:w="3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8"/>
                <w:szCs w:val="18"/>
              </w:rPr>
              <w:t xml:space="preserve">Backup rClone Swiss 02:00 UTC</w:t>
            </w:r>
          </w:p>
        </w:tc>
      </w:tr>
      <w:tr>
        <w:tc>
          <w:tcPr>
            <w:tcW w:type="dxa" w:w="2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open.osa-observatory.africa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✓ HTTPS</w:t>
            </w:r>
          </w:p>
        </w:tc>
        <w:tc>
          <w:tcPr>
            <w:tcW w:type="dxa" w:w="3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8"/>
                <w:szCs w:val="18"/>
              </w:rPr>
              <w:t xml:space="preserve">Build Vite déployé</w:t>
            </w:r>
          </w:p>
        </w:tc>
      </w:tr>
      <w:tr>
        <w:tc>
          <w:tcPr>
            <w:tcW w:type="dxa" w:w="2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preprod.osa-observatory.africa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✓ HTTPS + auth basique</w:t>
            </w:r>
          </w:p>
        </w:tc>
        <w:tc>
          <w:tcPr>
            <w:tcW w:type="dxa" w:w="3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8"/>
                <w:szCs w:val="18"/>
              </w:rPr>
              <w:t xml:space="preserve">comite/OSA_Comite_2026!</w:t>
            </w:r>
          </w:p>
        </w:tc>
      </w:tr>
      <w:tr>
        <w:tc>
          <w:tcPr>
            <w:tcW w:type="dxa" w:w="2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api.osa-observatory.africa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✓ HTTPS</w:t>
            </w:r>
          </w:p>
        </w:tc>
        <w:tc>
          <w:tcPr>
            <w:tcW w:type="dxa" w:w="3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E8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8"/>
                <w:szCs w:val="18"/>
              </w:rPr>
              <w:t xml:space="preserve">16 routers actifs</w:t>
            </w:r>
          </w:p>
        </w:tc>
      </w:tr>
      <w:tr>
        <w:tc>
          <w:tcPr>
            <w:tcW w:type="dxa" w:w="2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1A"/>
                <w:sz w:val="19"/>
                <w:szCs w:val="19"/>
              </w:rPr>
              <w:t xml:space="preserve">SMTP Gandi</w:t>
            </w:r>
          </w:p>
        </w:tc>
        <w:tc>
          <w:tcPr>
            <w:tcW w:type="dxa" w:w="3500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2A"/>
                <w:sz w:val="19"/>
                <w:szCs w:val="19"/>
              </w:rPr>
              <w:t xml:space="preserve">✓ Opérationnel</w:t>
            </w:r>
          </w:p>
        </w:tc>
        <w:tc>
          <w:tcPr>
            <w:tcW w:type="dxa" w:w="3026"/>
            <w:tcBorders>
              <w:top w:val="single" w:color="D4E4D4" w:sz="1"/>
              <w:left w:val="single" w:color="D4E4D4" w:sz="1"/>
              <w:bottom w:val="single" w:color="D4E4D4" w:sz="1"/>
              <w:right w:val="single" w:color="D4E4D4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A5A"/>
                <w:sz w:val="18"/>
                <w:szCs w:val="18"/>
              </w:rPr>
              <w:t xml:space="preserve">noreply@osa-observatory.africa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8973A" w:sz="8" w:space="1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Sprint 30 — CLÔTURÉ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A7A5A"/>
          <w:sz w:val="20"/>
          <w:szCs w:val="20"/>
        </w:rPr>
        <w:t xml:space="preserve">Conseil technique OSA — 2 juillet 2026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7A5A"/>
          <w:sz w:val="18"/>
          <w:szCs w:val="18"/>
        </w:rPr>
        <w:t xml:space="preserve">16 lots livrés · 20+ tables créées · Chaîne de gouvernance complète · Publication institutionnelle septembre 2027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73A" w:sz="4" w:space="2"/>
      </w:pBdr>
      <w:tabs>
        <w:tab w:val="right" w:pos="9026"/>
      </w:tabs>
    </w:pPr>
    <w:r>
      <w:rPr>
        <w:rFonts w:ascii="Arial" w:cs="Arial" w:eastAsia="Arial" w:hAnsi="Arial"/>
        <w:color w:val="5A7A5A"/>
        <w:sz w:val="16"/>
        <w:szCs w:val="16"/>
      </w:rPr>
      <w:t xml:space="preserve">CONFIDENTIEL — Usage interne Conseil technique OSA</w:t>
    </w:r>
    <w:r>
      <w:rPr>
        <w:rFonts w:ascii="Arial" w:cs="Arial" w:eastAsia="Arial" w:hAnsi="Arial"/>
        <w:color w:val="5A7A5A"/>
        <w:sz w:val="16"/>
        <w:szCs w:val="16"/>
      </w:rPr>
      <w:t xml:space="preserve">	Page </w:t>
    </w:r>
    <w:r>
      <w:rPr>
        <w:rFonts w:ascii="Arial" w:cs="Arial" w:eastAsia="Arial" w:hAnsi="Arial"/>
        <w:color w:val="5A7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2A" w:sz="4" w:space="2"/>
      </w:pBdr>
      <w:tabs>
        <w:tab w:val="right" w:pos="9026"/>
      </w:tabs>
    </w:pPr>
    <w:r>
      <w:rPr>
        <w:rFonts w:ascii="Arial" w:cs="Arial" w:eastAsia="Arial" w:hAnsi="Arial"/>
        <w:b/>
        <w:bCs/>
        <w:color w:val="0F4A1A"/>
        <w:sz w:val="16"/>
        <w:szCs w:val="16"/>
      </w:rPr>
      <w:t xml:space="preserve">OSA Observatory — Rapport de Clôture Sprint 30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7A5A"/>
        <w:sz w:val="16"/>
        <w:szCs w:val="16"/>
      </w:rPr>
      <w:t xml:space="preserve">2 juillet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4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2026-07-02T12:57:15.456Z</dcterms:created>
  <dcterms:modified xsi:type="dcterms:W3CDTF">2026-07-02T12:57:15.470Z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