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20"/>
          <w:szCs w:val="20"/>
        </w:rPr>
        <w:t xml:space="preserve">OSA OBSERVATORY</w:t>
      </w:r>
    </w:p>
    <w:p>
      <w:pPr>
        <w:spacing w:after="40"/>
      </w:pPr>
      <w:r>
        <w:rPr>
          <w:b/>
          <w:bCs/>
          <w:sz w:val="40"/>
          <w:szCs w:val="40"/>
        </w:rPr>
        <w:t xml:space="preserve">Sprint 23 — Document de constat et plan de correction</w:t>
      </w:r>
    </w:p>
    <w:p>
      <w:pPr>
        <w:spacing w:after="40"/>
      </w:pPr>
      <w:r>
        <w:rPr>
          <w:b/>
          <w:bCs/>
          <w:color w:val="1F4E5F"/>
          <w:sz w:val="28"/>
          <w:szCs w:val="28"/>
        </w:rPr>
        <w:t xml:space="preserve">Sprint d'Assainissement Scientifique &amp; Reconstruction Contrôlée</w:t>
      </w:r>
    </w:p>
    <w:p>
      <w:pPr>
        <w:spacing w:after="240"/>
      </w:pPr>
      <w:r>
        <w:rPr>
          <w:i/>
          <w:iCs/>
          <w:sz w:val="22"/>
          <w:szCs w:val="22"/>
        </w:rPr>
        <w:t xml:space="preserve">Référence : AUDIT OSA-2026-001 — Intégrité des couches L1/L2/L3</w:t>
      </w:r>
    </w:p>
    <w:p>
      <w:pPr>
        <w:spacing w:after="80"/>
      </w:pPr>
      <w:r>
        <w:rPr>
          <w:b/>
          <w:bCs/>
        </w:rPr>
        <w:t xml:space="preserve">Doctrine : </w:t>
      </w:r>
      <w:r>
        <w:rPr>
          <w:i/>
          <w:iCs/>
        </w:rPr>
        <w:t xml:space="preserve">« Souffrons de bien collecter » et « Souffrons de bien auditer avant de publier. »</w:t>
      </w:r>
    </w:p>
    <w:p>
      <w:pPr>
        <w:spacing w:after="240"/>
      </w:pPr>
      <w:r>
        <w:rPr>
          <w:b/>
          <w:bCs/>
        </w:rPr>
        <w:t xml:space="preserve">Statut au moment du constat : </w:t>
      </w:r>
      <w:r>
        <w:t xml:space="preserve">publication 2010-2024 = OFFICIAL (accès anticipé), 2025 = PRELIMINARY, 2026 = COLLECTING. Aucune correction rétroactive de communication publique requise — fenêtre de correction sans pression externe.</w:t>
      </w:r>
    </w:p>
    <w:p>
      <w:pPr>
        <w:pBdr>
          <w:bottom w:val="single" w:color="1F4E5F" w:sz="6" w:space="1"/>
        </w:pBdr>
        <w:spacing w:after="240" w:before="60"/>
      </w:pPr>
    </w:p>
    <w:p>
      <w:pPr>
        <w:pStyle w:val="Heading1"/>
      </w:pPr>
      <w:r>
        <w:t xml:space="preserve">1. Origine de la découverte</w:t>
      </w:r>
    </w:p>
    <w:p>
      <w:pPr>
        <w:spacing w:after="120"/>
      </w:pPr>
      <w:r>
        <w:t xml:space="preserve">Cette découverte est un effet de bord de la correction de l'indicateur ENV_FOR (pilier PENV, item Sprint 23 — « basculer ENV_FOR → ENV_DEF pour PENV_FOREST_SOVEREIGNTY »). En diagnostiquant un bug d'unité sur ENV_FOR (valeurs jusqu'à 283 340 alors que les bornes déclarées sont [0,100]), la vérification de l'état de ma.indicator_values a révélé une duplication massive et systémique, indépendante d'ENV_FOR et touchant la quasi-totalité des indicateurs actifs.</w:t>
      </w:r>
    </w:p>
    <w:p>
      <w:pPr>
        <w:spacing w:after="120"/>
      </w:pPr>
      <w:r>
        <w:t xml:space="preserve">La correction L1 d'ENV_FOR (collect.raw_data, 147 lignes, observations 2010/2015/2020 + SDN/SSD 2012/2015/2020, item FAO 6646/élément 7209) a été menée à son terme et committée — elle constitue un acquis indépendant de ce constat. La suite d'ENV_FOR (ma.indicator_values L1/L2/L3, imputer_v3, recalcul SOV_PENV) ainsi que le chantier PMIN_SMUGGLING_SIGNAL_VALUE (Pink Sheet) sont reportés après le présent sprint, sur base assainie.</w:t>
      </w:r>
    </w:p>
    <w:p>
      <w:pPr>
        <w:pStyle w:val="Heading1"/>
      </w:pPr>
      <w:r>
        <w:t xml:space="preserve">2. Constat chiffré</w:t>
      </w:r>
    </w:p>
    <w:p>
      <w:pPr>
        <w:pStyle w:val="Heading2"/>
      </w:pPr>
      <w:r>
        <w:t xml:space="preserve">2.1 Ampleur globale</w:t>
      </w:r>
    </w:p>
    <w:p>
      <w:pPr>
        <w:spacing w:after="120"/>
      </w:pPr>
      <w:r>
        <w:rPr>
          <w:b/>
          <w:bCs/>
        </w:rPr>
        <w:t xml:space="preserve">Volume total </w:t>
      </w:r>
      <w:r>
        <w:t xml:space="preserve">— 1 288 204 lignes dans ma.indicator_values, pour seulement 319 636 clés métier uniques (indicator_code, country_iso3, year, layer_id, method_version_id normalisé). Soit un facteur de duplication global d'environ </w:t>
      </w:r>
    </w:p>
    <w:p>
      <w:pPr>
        <w:spacing w:after="120"/>
      </w:pPr>
      <w:r>
        <w:rPr>
          <w:b/>
          <w:bCs/>
          <w:color w:val="B00020"/>
          <w:sz w:val="24"/>
          <w:szCs w:val="24"/>
        </w:rPr>
        <w:t xml:space="preserve">~4,03x</w:t>
      </w:r>
    </w:p>
    <w:p>
      <w:pPr>
        <w:spacing w:after="120"/>
      </w:pPr>
      <w:r>
        <w:t xml:space="preserve">sur l'ensemble de la table : environ 75 % des lignes sont des doublons.</w:t>
      </w:r>
    </w:p>
    <w:p>
      <w:pPr>
        <w:pStyle w:val="Heading2"/>
      </w:pPr>
      <w:r>
        <w:t xml:space="preserve">2.2 Taux de method_version_id NULL par couche</w:t>
      </w:r>
    </w:p>
    <w:p>
      <w:pPr>
        <w:spacing w:after="120"/>
      </w:pPr>
      <w:r>
        <w:t xml:space="preserve">Tableau issu de l'audit OSA-2026-001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Couche</w:t>
            </w:r>
          </w:p>
        </w:tc>
        <w:tc>
          <w:tcPr>
            <w:tcW w:type="dxa" w:w="20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Total lignes</w:t>
            </w:r>
          </w:p>
        </w:tc>
        <w:tc>
          <w:tcPr>
            <w:tcW w:type="dxa" w:w="20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method_version_id NULL</w:t>
            </w:r>
          </w:p>
        </w:tc>
        <w:tc>
          <w:tcPr>
            <w:tcW w:type="dxa" w:w="20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 NULL</w:t>
            </w:r>
          </w:p>
        </w:tc>
      </w:tr>
      <w:tr>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L1 (collecte brute)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80 559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43 042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53,43 %</w:t>
            </w:r>
          </w:p>
        </w:tc>
      </w:tr>
      <w:tr>
        <w:tc>
          <w:tcPr>
            <w:tcW w:type="dxa" w:w="3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L2 (imputation)</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208 970</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140 398</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67,19 %</w:t>
            </w:r>
          </w:p>
        </w:tc>
      </w:tr>
      <w:tr>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L3 (normalisation)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998 675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997 865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99,92 %</w:t>
            </w:r>
          </w:p>
        </w:tc>
      </w:tr>
    </w:tbl>
    <w:p>
      <w:pPr>
        <w:spacing w:after="120" w:before="120"/>
      </w:pPr>
    </w:p>
    <w:p>
      <w:pPr>
        <w:pStyle w:val="Heading2"/>
      </w:pPr>
      <w:r>
        <w:t xml:space="preserve">2.3 Indicateurs les plus affectés (échantillon, 224 indicateurs/couches concernés au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100"/>
        <w:gridCol w:w="1700"/>
        <w:gridCol w:w="1700"/>
        <w:gridCol w:w="1800"/>
      </w:tblGrid>
      <w:tr>
        <w:tc>
          <w:tcPr>
            <w:tcW w:type="dxa" w:w="30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Indicateur</w:t>
            </w:r>
          </w:p>
        </w:tc>
        <w:tc>
          <w:tcPr>
            <w:tcW w:type="dxa" w:w="11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Couche</w:t>
            </w:r>
          </w:p>
        </w:tc>
        <w:tc>
          <w:tcPr>
            <w:tcW w:type="dxa" w:w="17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Combos dupliqués</w:t>
            </w:r>
          </w:p>
        </w:tc>
        <w:tc>
          <w:tcPr>
            <w:tcW w:type="dxa" w:w="17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Lignes excédentaires</w:t>
            </w:r>
          </w:p>
        </w:tc>
        <w:tc>
          <w:tcPr>
            <w:tcW w:type="dxa" w:w="18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Ratio max</w:t>
            </w:r>
          </w:p>
        </w:tc>
      </w:tr>
      <w:tr>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ECO_PUBLIC_LEAKAGE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746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12 663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x352</w:t>
            </w:r>
          </w:p>
        </w:tc>
      </w:tr>
      <w:tr>
        <w:tc>
          <w:tcPr>
            <w:tcW w:type="dxa" w:w="3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GEO_SOVEREIGN_MARGIN</w:t>
            </w:r>
          </w:p>
        </w:tc>
        <w:tc>
          <w:tcPr>
            <w:tcW w:type="dxa" w:w="11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L3</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746</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12 663</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x352</w:t>
            </w:r>
          </w:p>
        </w:tc>
      </w:tr>
      <w:tr>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ECO_TAX_EFFICIENCY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739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11 422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x352</w:t>
            </w:r>
          </w:p>
        </w:tc>
      </w:tr>
      <w:tr>
        <w:tc>
          <w:tcPr>
            <w:tcW w:type="dxa" w:w="3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MIN_PRD_ALU</w:t>
            </w:r>
          </w:p>
        </w:tc>
        <w:tc>
          <w:tcPr>
            <w:tcW w:type="dxa" w:w="11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L3</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810</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19 105</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x41</w:t>
            </w:r>
          </w:p>
        </w:tc>
      </w:tr>
      <w:tr>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PTRA_LOG_LPI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18 894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x34</w:t>
            </w:r>
          </w:p>
        </w:tc>
      </w:tr>
      <w:tr>
        <w:tc>
          <w:tcPr>
            <w:tcW w:type="dxa" w:w="3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MIN_PRD_GOL</w:t>
            </w:r>
          </w:p>
        </w:tc>
        <w:tc>
          <w:tcPr>
            <w:tcW w:type="dxa" w:w="11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L3</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810</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18 875</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x41</w:t>
            </w:r>
          </w:p>
        </w:tc>
      </w:tr>
      <w:tr>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HUM_POV</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17 598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x27</w:t>
            </w:r>
          </w:p>
        </w:tc>
      </w:tr>
      <w:tr>
        <w:tc>
          <w:tcPr>
            <w:tcW w:type="dxa" w:w="30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ENV_FOR</w:t>
            </w:r>
          </w:p>
        </w:tc>
        <w:tc>
          <w:tcPr>
            <w:tcW w:type="dxa" w:w="11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L3</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810</w:t>
            </w:r>
          </w:p>
        </w:tc>
        <w:tc>
          <w:tcPr>
            <w:tcW w:type="dxa" w:w="1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4 434</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color w:val="B00020"/>
                <w:sz w:val="20"/>
                <w:szCs w:val="20"/>
              </w:rPr>
              <w:t xml:space="preserve">x27</w:t>
            </w:r>
          </w:p>
        </w:tc>
      </w:tr>
      <w:tr>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ENV_FOR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795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852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B00020"/>
                <w:sz w:val="20"/>
                <w:szCs w:val="20"/>
              </w:rPr>
              <w:t xml:space="preserve">x5</w:t>
            </w:r>
          </w:p>
        </w:tc>
      </w:tr>
    </w:tbl>
    <w:p>
      <w:pPr>
        <w:spacing w:after="120" w:before="120"/>
      </w:pPr>
    </w:p>
    <w:p>
      <w:pPr>
        <w:pStyle w:val="Heading2"/>
      </w:pPr>
      <w:r>
        <w:t xml:space="preserve">2.4 Impact sur ma.pillar_scores (150 lignes, 10 piliers × 15 années)</w:t>
      </w:r>
    </w:p>
    <w:p>
      <w:pPr>
        <w:spacing w:after="120"/>
      </w:pPr>
      <w:r>
        <w:t xml:space="preserve">Un score moyen de souveraineté égal à 1,000 pour 54/54 pays pendant 15 ans est incompatible avec la définition même de l'ISA (hétérogénéité attendue entre 54 états sur 10 dimensions comportementales). Le LEAST(1.0, ...) de ma.compute_pillar_score masque silencieusement la sur-sommation due aux doublons L3.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000"/>
        <w:gridCol w:w="3860"/>
      </w:tblGrid>
      <w:tr>
        <w:tc>
          <w:tcPr>
            <w:tcW w:type="dxa" w:w="13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Pilier</w:t>
            </w:r>
          </w:p>
        </w:tc>
        <w:tc>
          <w:tcPr>
            <w:tcW w:type="dxa" w:w="22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Score moyen 2010–2024</w:t>
            </w:r>
          </w:p>
        </w:tc>
        <w:tc>
          <w:tcPr>
            <w:tcW w:type="dxa" w:w="200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Pays à score ≥ 0,999</w:t>
            </w:r>
          </w:p>
        </w:tc>
        <w:tc>
          <w:tcPr>
            <w:tcW w:type="dxa" w:w="3860"/>
            <w:tcBorders>
              <w:top w:val="single" w:color="CCCCCC" w:sz="1"/>
              <w:left w:val="single" w:color="CCCCCC" w:sz="1"/>
              <w:bottom w:val="single" w:color="CCCCCC" w:sz="1"/>
              <w:right w:val="single" w:color="CCCCCC" w:sz="1"/>
            </w:tcBorders>
            <w:shd w:fill="1F4E5F" w:val="clear"/>
            <w:tcMar>
              <w:top w:type="dxa" w:w="60"/>
              <w:left w:type="dxa" w:w="100"/>
              <w:bottom w:type="dxa" w:w="60"/>
              <w:right w:type="dxa" w:w="100"/>
            </w:tcMar>
          </w:tcPr>
          <w:p>
            <w:r>
              <w:rPr>
                <w:b/>
                <w:bCs/>
                <w:color w:val="FFFFFF"/>
                <w:sz w:val="20"/>
                <w:szCs w:val="20"/>
              </w:rPr>
              <w:t xml:space="preserve">Constat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PENV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0,996 – 1,000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52–54 / 54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B00020"/>
                <w:sz w:val="20"/>
                <w:szCs w:val="20"/>
              </w:rPr>
              <w:t xml:space="preserve">Plafonné quasi systématiquement</w:t>
            </w:r>
          </w:p>
        </w:tc>
      </w:tr>
      <w:tr>
        <w:tc>
          <w:tcPr>
            <w:tcW w:type="dxa" w:w="13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PHUM</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~1,000</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52–54 / 54</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color w:val="B00020"/>
                <w:sz w:val="20"/>
                <w:szCs w:val="20"/>
              </w:rPr>
              <w:t xml:space="preserve">Plafonné quasi systématiquement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PMIL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0,991 – 1,000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51–54 / 54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B00020"/>
                <w:sz w:val="20"/>
                <w:szCs w:val="20"/>
              </w:rPr>
              <w:t xml:space="preserve">Plafonné, tendance croissante</w:t>
            </w:r>
          </w:p>
        </w:tc>
      </w:tr>
      <w:tr>
        <w:tc>
          <w:tcPr>
            <w:tcW w:type="dxa" w:w="13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PMON</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~1,000</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53–54 / 54</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color w:val="B00020"/>
                <w:sz w:val="20"/>
                <w:szCs w:val="20"/>
              </w:rPr>
              <w:t xml:space="preserve">Plafonné quasi systématiquement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0,995 – 1,000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51–54 / 54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B00020"/>
                <w:sz w:val="20"/>
                <w:szCs w:val="20"/>
              </w:rPr>
              <w:t xml:space="preserve">Plafonné quasi systématiquement</w:t>
            </w:r>
          </w:p>
        </w:tc>
      </w:tr>
      <w:tr>
        <w:tc>
          <w:tcPr>
            <w:tcW w:type="dxa" w:w="13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PRES</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0,994 – 1,000</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52–54 / 54</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color w:val="B00020"/>
                <w:sz w:val="20"/>
                <w:szCs w:val="20"/>
              </w:rPr>
              <w:t xml:space="preserve">Plafonné quasi systématiquement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PTRA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0,997 – 1,000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52–54 / 54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B00020"/>
                <w:sz w:val="20"/>
                <w:szCs w:val="20"/>
              </w:rPr>
              <w:t xml:space="preserve">Plafonné quasi systématiquement</w:t>
            </w:r>
          </w:p>
        </w:tc>
      </w:tr>
      <w:tr>
        <w:tc>
          <w:tcPr>
            <w:tcW w:type="dxa" w:w="13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PNUM</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0,720 → 1,000</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27 → 54 / 54</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color w:val="B00020"/>
                <w:sz w:val="20"/>
                <w:szCs w:val="20"/>
              </w:rPr>
              <w:t xml:space="preserve">Convergence progressive vers le plafond</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PECO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0,952 – 0,975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45–49 / 54</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B00020"/>
                <w:sz w:val="20"/>
                <w:szCs w:val="20"/>
              </w:rPr>
              <w:t xml:space="preserve">Proche du plafond, non systématique</w:t>
            </w:r>
          </w:p>
        </w:tc>
      </w:tr>
      <w:tr>
        <w:tc>
          <w:tcPr>
            <w:tcW w:type="dxa" w:w="13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bCs/>
                <w:sz w:val="20"/>
                <w:szCs w:val="20"/>
              </w:rPr>
              <w:t xml:space="preserve">PGEO</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0,44 – 0,52</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sz w:val="20"/>
                <w:szCs w:val="20"/>
              </w:rPr>
              <w:t xml:space="preserve">0 / 54</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b w:val="false"/>
                <w:bCs w:val="false"/>
                <w:color w:val="1B5E20"/>
                <w:sz w:val="20"/>
                <w:szCs w:val="20"/>
              </w:rPr>
              <w:t xml:space="preserve">Apparemment épargné — à vérifier</w:t>
            </w:r>
          </w:p>
        </w:tc>
      </w:tr>
    </w:tbl>
    <w:p>
      <w:pPr>
        <w:spacing w:after="120" w:before="120"/>
      </w:pPr>
    </w:p>
    <w:p>
      <w:pPr>
        <w:spacing w:after="120"/>
      </w:pPr>
      <w:r>
        <w:t xml:space="preserve">PGEO et, dans une moindre mesure, PECO semblent ne pas atteindre le plafond — à vérifier si ces piliers ont des indicateurs moins/pas affectés par la duplication L3, ou si leurs poids (ml.weight) restent sous 1,0 même avec une sur-sommation. Leur normalité apparente ne garantit PAS qu'ils soient indemnes du même défaut structurel.</w:t>
      </w:r>
    </w:p>
    <w:p>
      <w:r>
        <w:br w:type="page"/>
      </w:r>
    </w:p>
    <w:p>
      <w:pPr>
        <w:pStyle w:val="Heading1"/>
      </w:pPr>
      <w:r>
        <w:t xml:space="preserve">3. Cause racine — diagnostic mécanique</w:t>
      </w:r>
    </w:p>
    <w:p>
      <w:pPr>
        <w:pStyle w:val="Heading2"/>
      </w:pPr>
      <w:r>
        <w:t xml:space="preserve">3.1 Contrainte UNIQUE inopérante</w:t>
      </w:r>
    </w:p>
    <w:p>
      <w:pPr>
        <w:shd w:fill="F4F4F4" w:val="clear"/>
        <w:spacing w:after="120"/>
      </w:pPr>
      <w:r>
        <w:rPr>
          <w:rFonts w:ascii="Consolas" w:cs="Consolas" w:eastAsia="Consolas" w:hAnsi="Consolas"/>
          <w:sz w:val="18"/>
          <w:szCs w:val="18"/>
        </w:rPr>
        <w:t xml:space="preserve">UNIQUE (indicator_code, country_iso3, year, layer_id, method_version_id)</w:t>
      </w:r>
    </w:p>
    <w:p>
      <w:pPr>
        <w:spacing w:after="120"/>
      </w:pPr>
      <w:r>
        <w:t xml:space="preserve">En SQL/PostgreSQL, NULL n'est jamais égal à NULL. Une contrainte UNIQUE portant sur un jeu de colonnes incluant une colonne NULL n'empêche pas les doublons sur cette colonne : chaque ligne avec method_version_id IS NULL est traitée comme distincte, quelle que soit la valeur des autres colonnes. ON CONFLICT DO NOTHING devient alors systématiquement inopérant pour ces lignes.</w:t>
      </w:r>
    </w:p>
    <w:p>
      <w:pPr>
        <w:spacing w:after="120"/>
      </w:pPr>
      <w:r>
        <w:rPr>
          <w:b/>
          <w:bCs/>
        </w:rPr>
        <w:t xml:space="preserve">Colonne method_version_id avant correction : </w:t>
      </w:r>
      <w:r>
        <w:t xml:space="preserve">column_default = (vide), is_nullable = YES, data_type = integer.</w:t>
      </w:r>
    </w:p>
    <w:p>
      <w:pPr>
        <w:spacing w:after="120"/>
      </w:pPr>
      <w:r>
        <w:rPr>
          <w:b/>
          <w:bCs/>
        </w:rPr>
        <w:t xml:space="preserve">Référentiel ma.indicator_method_versions : </w:t>
      </w:r>
      <w:r>
        <w:t xml:space="preserve">sain et cohérent — 6 versions actives, id=1 confirmé valide (method_id=1, normalization=minmax, weighting=equal, is_active=true, Sprint 4).</w:t>
      </w:r>
    </w:p>
    <w:p>
      <w:pPr>
        <w:pStyle w:val="Heading2"/>
      </w:pPr>
      <w:r>
        <w:t xml:space="preserve">3.2 Producteurs fautifs identifiés</w:t>
      </w:r>
    </w:p>
    <w:p>
      <w:pPr>
        <w:pStyle w:val="Heading3"/>
      </w:pPr>
      <w:r>
        <w:t xml:space="preserve">a) ma.normalize_indicator (db/fix_normalize_indicator_v2.sql) — responsable de 99,92 % des NULL en L3</w:t>
      </w:r>
    </w:p>
    <w:p>
      <w:pPr>
        <w:spacing w:after="120"/>
      </w:pPr>
      <w:r>
        <w:t xml:space="preserve">La fonction accepte un paramètre p_method_version INT DEFAULT 1, mais ce paramètre n'est JAMAIS utilisé dans le corps de la fonction. La liste de colonnes de l'INSERT INTO ma.indicator_values omet method_version_id :</w:t>
      </w:r>
    </w:p>
    <w:p>
      <w:pPr>
        <w:shd w:fill="F4F4F4" w:val="clear"/>
        <w:spacing w:after="120"/>
      </w:pPr>
      <w:r>
        <w:rPr>
          <w:rFonts w:ascii="Consolas" w:cs="Consolas" w:eastAsia="Consolas" w:hAnsi="Consolas"/>
          <w:sz w:val="18"/>
          <w:szCs w:val="18"/>
        </w:rPr>
        <w:t xml:space="preserve">INSERT INTO ma.indicator_values
    (indicator_code, country_iso3, year, layer_id,
     raw_value, processed_value, quality_flag)
-- method_version_id absent -&gt; NULL par defaut</w:t>
      </w:r>
    </w:p>
    <w:p>
      <w:pPr>
        <w:spacing w:after="120"/>
      </w:pPr>
      <w:r>
        <w:t xml:space="preserve">Chaque appel à ma.normalize_indicator(indicator, year) ajoute donc une nouvelle ligne L3, sans jamais entrer en conflit avec les précédentes.</w:t>
      </w:r>
    </w:p>
    <w:p>
      <w:pPr>
        <w:pStyle w:val="Heading3"/>
      </w:pPr>
      <w:r>
        <w:t xml:space="preserve">b) db/to_indicator_value/forest_to_indicator_values.sql — contribue aux 53,43 % de NULL en L1</w:t>
      </w:r>
    </w:p>
    <w:p>
      <w:pPr>
        <w:shd w:fill="F4F4F4" w:val="clear"/>
        <w:spacing w:after="120"/>
      </w:pPr>
      <w:r>
        <w:rPr>
          <w:rFonts w:ascii="Consolas" w:cs="Consolas" w:eastAsia="Consolas" w:hAnsi="Consolas"/>
          <w:sz w:val="18"/>
          <w:szCs w:val="18"/>
        </w:rPr>
        <w:t xml:space="preserve">INSERT INTO ma.indicator_values
    (indicator_code, country_iso3, year,
     raw_value, processed_value,
     value_status, confidence_score, layer_id)
-- method_version_id absent -&gt; NULL par defaut</w:t>
      </w:r>
    </w:p>
    <w:p>
      <w:pPr>
        <w:spacing w:after="120"/>
      </w:pPr>
      <w:r>
        <w:t xml:space="preserve">Le même anti-motif (colonne method_version_id omise d'un INSERT) apparaît indépendamment dans ce script SQL direct, distinct de la fonction PL/pgSQL ci-dessus. À vérifier : usgs_to_indicator_values.sql et comtrade_to_indicator_values.sql (même famille de scripts, non encore audités pour ce défaut).</w:t>
      </w:r>
    </w:p>
    <w:p>
      <w:pPr>
        <w:pStyle w:val="Heading3"/>
      </w:pPr>
      <w:r>
        <w:t xml:space="preserve">c) Producteurs sains (à titre de comparaison)</w:t>
      </w:r>
    </w:p>
    <w:p>
      <w:pPr>
        <w:spacing w:after="120"/>
      </w:pPr>
      <w:r>
        <w:t xml:space="preserve">Les fetchers suivants incluent correctement method_version_id dans leurs INSERT et ne sont pas en cause : fetcher_pmin_smuggling.py, fetcher_pmin_leakage.py, fetcher_baci_mirror.py, fetcher_phum_value_capture.py, ainsi que collectors/imputer_v3.py (qui utilise meta_cache.get((ind, iso3), 1) avec repli sur 1).</w:t>
      </w:r>
    </w:p>
    <w:p>
      <w:pPr>
        <w:pStyle w:val="Heading2"/>
      </w:pPr>
      <w:r>
        <w:t xml:space="preserve">3.3 Précédent — Sprint 8, déduplication L1 seule</w:t>
      </w:r>
    </w:p>
    <w:p>
      <w:pPr>
        <w:spacing w:after="120"/>
      </w:pPr>
      <w:r>
        <w:t xml:space="preserve">db/patch_db/patch_deduplicate_l1_only.sql (Sprint 8, mai 2026) documente déjà 106 884 doublons supprimés, mais UNIQUEMENT en layer_id = 1 (et un cas particulier ECO_GDP en L2). La même cause racine a continué de produire des doublons en L2/L3 depuis, sans correctif équivalent — d'où la réapparition du problème malgré une correction antérieure perçue comme aboutie.</w:t>
      </w:r>
    </w:p>
    <w:p>
      <w:pPr>
        <w:pStyle w:val="Heading2"/>
      </w:pPr>
      <w:r>
        <w:t xml:space="preserve">3.4 Angle mort de l'audit existant — et correction apportée</w:t>
      </w:r>
    </w:p>
    <w:p>
      <w:pPr>
        <w:spacing w:after="120"/>
      </w:pPr>
      <w:r>
        <w:t xml:space="preserve">collectors/check_l3.py (contrôles C1–C10) ne contenait aucun contrôle de duplication/cardinalité. Les contrôles existants (bornes [0,1], NaN, direction, couverture, etc.) sont tous individuellement satisfaits par des lignes dupliquées identiques — la duplication était donc invisible à cet audit.</w:t>
      </w:r>
    </w:p>
    <w:p>
      <w:pPr>
        <w:spacing w:after="120"/>
      </w:pPr>
      <w:r>
        <w:rPr>
          <w:b/>
          <w:bCs/>
        </w:rPr>
        <w:t xml:space="preserve">Correction déjà appliquée (Sprint 23) : </w:t>
      </w:r>
      <w:r>
        <w:t xml:space="preserve">ajout du contrôle C0 à check_l3.py, exécuté EN PREMIER, sur L1/L2/L3. Si C0 échoue, le rapport avertit explicitement que les contrôles C1–C9 portent sur une cardinalité incorrecte et ne sont pas fiables. Exécution de validation : 224 indicateurs/couches signalés, conforme à l'ampleur mesurée en §2.</w:t>
      </w:r>
    </w:p>
    <w:p>
      <w:r>
        <w:br w:type="page"/>
      </w:r>
    </w:p>
    <w:p>
      <w:pPr>
        <w:pStyle w:val="Heading1"/>
      </w:pPr>
      <w:r>
        <w:t xml:space="preserve">4. Analyse 5W1H</w:t>
      </w:r>
    </w:p>
    <w:p>
      <w:pPr>
        <w:pStyle w:val="Heading2"/>
      </w:pPr>
      <w:r>
        <w:t xml:space="preserve">QUOI</w:t>
      </w:r>
    </w:p>
    <w:p>
      <w:pPr>
        <w:spacing w:after="120"/>
      </w:pPr>
      <w:r>
        <w:t xml:space="preserve">Deux phases d'un même chantier :</w:t>
      </w:r>
    </w:p>
    <w:p>
      <w:pPr>
        <w:pStyle w:val="ListParagraph"/>
        <w:numPr>
          <w:ilvl w:val="0"/>
          <w:numId w:val="2"/>
        </w:numPr>
        <w:spacing w:after="60"/>
      </w:pPr>
      <w:r>
        <w:t xml:space="preserve">Phase 1 — Assainissement scientifique : audit exhaustif L1→L2→L3, cartographie de tous les producteurs au regard de method_version_id, correction du schéma et des fonctions/scripts fautifs, mesure quantifiée de l'impact sur ma.pillar_scores avant toute action destructive.</w:t>
      </w:r>
    </w:p>
    <w:p>
      <w:pPr>
        <w:pStyle w:val="ListParagraph"/>
        <w:numPr>
          <w:ilvl w:val="0"/>
          <w:numId w:val="2"/>
        </w:numPr>
        <w:spacing w:after="60"/>
      </w:pPr>
      <w:r>
        <w:t xml:space="preserve">Phase 2 — Reconstruction contrôlée : déduplication de ma.indicator_values (1 288 204 → ~319 636 lignes), recalcul séquentiel L2 → L3 → ma.pillar_scores → ma.compute_isa, avec validation scientifique (C0–C9 OK) à chaque étape.</w:t>
      </w:r>
    </w:p>
    <w:p>
      <w:pPr>
        <w:spacing w:after="120"/>
      </w:pPr>
      <w:r>
        <w:t xml:space="preserve">Hors périmètre, reportés après ce sprint, sur base assainie : suite ENV_FOR (L2/L3/imputer_v3/SOV_PENV) et PMIN_SMUGGLING_SIGNAL_VALUE (fetcher Pink Sheet).</w:t>
      </w:r>
    </w:p>
    <w:p>
      <w:pPr>
        <w:pStyle w:val="Heading2"/>
      </w:pPr>
      <w:r>
        <w:t xml:space="preserve">POURQUOI</w:t>
      </w:r>
    </w:p>
    <w:p>
      <w:pPr>
        <w:spacing w:after="120"/>
      </w:pPr>
      <w:r>
        <w:t xml:space="preserve">Un score ISA calculé sur des données dont ~75 % sont des doublons n'est ni vérifiable ni défendable, quel que soit son statut de publication. Sans correction de la cause racine, chaque nouveau pipeline (Sprint 25, collecte 2025) ajouterait sa propre couche de doublons sur un substrat déjà corrompu. Le statut PRELIMINARY/COLLECTING (2025–2026), avant la première publication institutionnelle (septembre 2027), rend ce moment optimal : aucune correction rétroactive de communication publique n'est nécessaire.</w:t>
      </w:r>
    </w:p>
    <w:p>
      <w:pPr>
        <w:pStyle w:val="Heading2"/>
      </w:pPr>
      <w:r>
        <w:t xml:space="preserve">QUI</w:t>
      </w:r>
    </w:p>
    <w:p>
      <w:pPr>
        <w:pStyle w:val="ListParagraph"/>
        <w:numPr>
          <w:ilvl w:val="0"/>
          <w:numId w:val="2"/>
        </w:numPr>
        <w:spacing w:after="60"/>
      </w:pPr>
      <w:r>
        <w:t xml:space="preserve">Théo (lead) : décisions doctrinales (critère de déduplication, seuils de tolérance des écarts de scores, validation finale avant COMMIT des opérations destructives), exécution sur osa_db (VPS Infomaniak).</w:t>
      </w:r>
    </w:p>
    <w:p>
      <w:pPr>
        <w:pStyle w:val="ListParagraph"/>
        <w:numPr>
          <w:ilvl w:val="0"/>
          <w:numId w:val="2"/>
        </w:numPr>
        <w:spacing w:after="60"/>
      </w:pPr>
      <w:r>
        <w:t xml:space="preserve">Assistant : diagnostic, cartographie du code, rédaction des scripts SQL/Python de correction, analyse des résultats check_l3.py, comparaisons avant/après.</w:t>
      </w:r>
    </w:p>
    <w:p>
      <w:pPr>
        <w:pStyle w:val="ListParagraph"/>
        <w:numPr>
          <w:ilvl w:val="0"/>
          <w:numId w:val="2"/>
        </w:numPr>
        <w:spacing w:after="60"/>
      </w:pPr>
      <w:r>
        <w:t xml:space="preserve">Aucune dépendance externe — travail interne à osa_db et au dépôt osa-observatory.</w:t>
      </w:r>
    </w:p>
    <w:p>
      <w:pPr>
        <w:pStyle w:val="Heading2"/>
      </w:pPr>
      <w:r>
        <w:t xml:space="preserve">QUAND</w:t>
      </w:r>
    </w:p>
    <w:p>
      <w:pPr>
        <w:spacing w:after="120"/>
      </w:pPr>
      <w:r>
        <w:t xml:space="preserve">Maintenant, en séquence continue mais jalonnée : chaque étape produit un état vérifiable (notamment C0 de check_l3.py) avant la suivante. Pas de contrainte de calendrier externe, mais impérativement avant :</w:t>
      </w:r>
    </w:p>
    <w:p>
      <w:pPr>
        <w:pStyle w:val="ListParagraph"/>
        <w:numPr>
          <w:ilvl w:val="0"/>
          <w:numId w:val="2"/>
        </w:numPr>
        <w:spacing w:after="60"/>
      </w:pPr>
      <w:r>
        <w:t xml:space="preserve">toute reprise d'ENV_FOR (L2/L3) ;</w:t>
      </w:r>
    </w:p>
    <w:p>
      <w:pPr>
        <w:pStyle w:val="ListParagraph"/>
        <w:numPr>
          <w:ilvl w:val="0"/>
          <w:numId w:val="2"/>
        </w:numPr>
        <w:spacing w:after="60"/>
      </w:pPr>
      <w:r>
        <w:t xml:space="preserve">tout démarrage du Sprint 25 (collecte 2025) ;</w:t>
      </w:r>
    </w:p>
    <w:p>
      <w:pPr>
        <w:pStyle w:val="ListParagraph"/>
        <w:numPr>
          <w:ilvl w:val="0"/>
          <w:numId w:val="2"/>
        </w:numPr>
        <w:spacing w:after="60"/>
      </w:pPr>
      <w:r>
        <w:t xml:space="preserve">la 4e semaine d'août (transition automatique 2025→OFFICIAL via rf.register_publication_pv()).</w:t>
      </w:r>
    </w:p>
    <w:p>
      <w:pPr>
        <w:pStyle w:val="Heading2"/>
      </w:pPr>
      <w:r>
        <w:t xml:space="preserve">OÙ</w:t>
      </w:r>
    </w:p>
    <w:p>
      <w:pPr>
        <w:pStyle w:val="ListParagraph"/>
        <w:numPr>
          <w:ilvl w:val="0"/>
          <w:numId w:val="2"/>
        </w:numPr>
        <w:spacing w:after="60"/>
      </w:pPr>
      <w:r>
        <w:t xml:space="preserve">ma.indicator_values (table principale, 1 288 204 → ~319 636 lignes après déduplication)</w:t>
      </w:r>
    </w:p>
    <w:p>
      <w:pPr>
        <w:pStyle w:val="ListParagraph"/>
        <w:numPr>
          <w:ilvl w:val="0"/>
          <w:numId w:val="2"/>
        </w:numPr>
        <w:spacing w:after="60"/>
      </w:pPr>
      <w:r>
        <w:t xml:space="preserve">ma.indicator_method_versions (référentiel, déjà sain — 6 versions actives, id=1 valide)</w:t>
      </w:r>
    </w:p>
    <w:p>
      <w:pPr>
        <w:pStyle w:val="ListParagraph"/>
        <w:numPr>
          <w:ilvl w:val="0"/>
          <w:numId w:val="2"/>
        </w:numPr>
        <w:spacing w:after="60"/>
      </w:pPr>
      <w:r>
        <w:t xml:space="preserve">ma.pillar_scores (150 lignes, 10 piliers × 15 ans — à recalculer)</w:t>
      </w:r>
    </w:p>
    <w:p>
      <w:pPr>
        <w:pStyle w:val="ListParagraph"/>
        <w:numPr>
          <w:ilvl w:val="0"/>
          <w:numId w:val="2"/>
        </w:numPr>
        <w:spacing w:after="60"/>
      </w:pPr>
      <w:r>
        <w:t xml:space="preserve">Code : db/fix_normalize_indicator_v2.sql (fonction ma.normalize_indicator), db/to_indicator_value/*.sql (3 fichiers à auditer), collectors/check_l3.py (C0 déjà ajouté)</w:t>
      </w:r>
    </w:p>
    <w:p>
      <w:pPr>
        <w:pStyle w:val="ListParagraph"/>
        <w:numPr>
          <w:ilvl w:val="0"/>
          <w:numId w:val="2"/>
        </w:numPr>
        <w:spacing w:after="60"/>
      </w:pPr>
      <w:r>
        <w:t xml:space="preserve">Nouveau : script de cartographie des producteurs (audit_producteurs_method_version)</w:t>
      </w:r>
    </w:p>
    <w:p>
      <w:pPr>
        <w:pStyle w:val="Heading2"/>
      </w:pPr>
      <w:r>
        <w:t xml:space="preserve">COMMENT</w:t>
      </w:r>
    </w:p>
    <w:p>
      <w:pPr>
        <w:pStyle w:val="Heading3"/>
      </w:pPr>
      <w:r>
        <w:t xml:space="preserve">Phase 1 — Assainissement</w:t>
      </w:r>
    </w:p>
    <w:p>
      <w:pPr>
        <w:pStyle w:val="ListParagraph"/>
        <w:numPr>
          <w:ilvl w:val="0"/>
          <w:numId w:val="3"/>
        </w:numPr>
        <w:spacing w:after="60"/>
      </w:pPr>
      <w:r>
        <w:t xml:space="preserve">Sauvegarde complète (pg_dump -t ma.indicator_values -t ma.pillar_scores) avant toute opération — non négociable étant donné l'ampleur (1,29 M lignes).</w:t>
      </w:r>
    </w:p>
    <w:p>
      <w:pPr>
        <w:pStyle w:val="ListParagraph"/>
        <w:numPr>
          <w:ilvl w:val="0"/>
          <w:numId w:val="3"/>
        </w:numPr>
        <w:spacing w:after="60"/>
      </w:pPr>
      <w:r>
        <w:t xml:space="preserve">Cartographie automatisée : distribution method_version_id par (indicator_code, layer_id) pour identifier précisément les producteurs en cause, au-delà des deux déjà identifiés.</w:t>
      </w:r>
    </w:p>
    <w:p>
      <w:pPr>
        <w:pStyle w:val="ListParagraph"/>
        <w:numPr>
          <w:ilvl w:val="0"/>
          <w:numId w:val="3"/>
        </w:numPr>
        <w:spacing w:after="60"/>
      </w:pPr>
      <w:r>
        <w:t xml:space="preserve">ALTER TABLE ma.indicator_values ALTER COLUMN method_version_id SET DEFAULT 1.</w:t>
      </w:r>
    </w:p>
    <w:p>
      <w:pPr>
        <w:pStyle w:val="ListParagraph"/>
        <w:numPr>
          <w:ilvl w:val="0"/>
          <w:numId w:val="3"/>
        </w:numPr>
        <w:spacing w:after="60"/>
      </w:pPr>
      <w:r>
        <w:t xml:space="preserve">Snapshot de référence « avant » de ma.pillar_scores (150 lignes déjà extraites).</w:t>
      </w:r>
    </w:p>
    <w:p>
      <w:pPr>
        <w:pStyle w:val="ListParagraph"/>
        <w:numPr>
          <w:ilvl w:val="0"/>
          <w:numId w:val="3"/>
        </w:numPr>
        <w:spacing w:after="60"/>
      </w:pPr>
      <w:r>
        <w:t xml:space="preserve">Correction de ma.normalize_indicator (CREATE OR REPLACE, ajout method_version_id = p_method_version à l'INSERT).</w:t>
      </w:r>
    </w:p>
    <w:p>
      <w:pPr>
        <w:pStyle w:val="ListParagraph"/>
        <w:numPr>
          <w:ilvl w:val="0"/>
          <w:numId w:val="3"/>
        </w:numPr>
        <w:spacing w:after="60"/>
      </w:pPr>
      <w:r>
        <w:t xml:space="preserve">Correction de forest_to_indicator_values.sql et audit des deux autres *_to_indicator_values.sql.</w:t>
      </w:r>
    </w:p>
    <w:p>
      <w:pPr>
        <w:pStyle w:val="Heading3"/>
      </w:pPr>
      <w:r>
        <w:t xml:space="preserve">Phase 2 — Reconstruction</w:t>
      </w:r>
    </w:p>
    <w:p>
      <w:pPr>
        <w:pStyle w:val="ListParagraph"/>
        <w:numPr>
          <w:ilvl w:val="0"/>
          <w:numId w:val="3"/>
        </w:numPr>
        <w:spacing w:after="60"/>
      </w:pPr>
      <w:r>
        <w:t xml:space="preserve">Déduplication de ma.indicator_values selon le critère retenu (cf. §6 — point ouvert).</w:t>
      </w:r>
    </w:p>
    <w:p>
      <w:pPr>
        <w:pStyle w:val="ListParagraph"/>
        <w:numPr>
          <w:ilvl w:val="0"/>
          <w:numId w:val="3"/>
        </w:numPr>
        <w:spacing w:after="60"/>
      </w:pPr>
      <w:r>
        <w:t xml:space="preserve">UPDATE ma.indicator_values SET method_version_id = 1 WHERE method_version_id IS NULL (post-déduplication, sans conflit).</w:t>
      </w:r>
    </w:p>
    <w:p>
      <w:pPr>
        <w:pStyle w:val="ListParagraph"/>
        <w:numPr>
          <w:ilvl w:val="0"/>
          <w:numId w:val="3"/>
        </w:numPr>
        <w:spacing w:after="60"/>
      </w:pPr>
      <w:r>
        <w:t xml:space="preserve">check_l3.py — C0 doit passer OK pour L1/L2/L3.</w:t>
      </w:r>
    </w:p>
    <w:p>
      <w:pPr>
        <w:pStyle w:val="ListParagraph"/>
        <w:numPr>
          <w:ilvl w:val="0"/>
          <w:numId w:val="3"/>
        </w:numPr>
        <w:spacing w:after="60"/>
      </w:pPr>
      <w:r>
        <w:t xml:space="preserve">Recalcul L2 : ré-exécution imputer_v3 pour les indicateurs en régime STANDARD (vérifier idempotence post-correctif).</w:t>
      </w:r>
    </w:p>
    <w:p>
      <w:pPr>
        <w:pStyle w:val="ListParagraph"/>
        <w:numPr>
          <w:ilvl w:val="0"/>
          <w:numId w:val="3"/>
        </w:numPr>
        <w:spacing w:after="60"/>
      </w:pPr>
      <w:r>
        <w:t xml:space="preserve">Recalcul L3 : ré-exécution de ma.normalize_indicator (corrigée) pour tous indicateurs × années 2010–2024.</w:t>
      </w:r>
    </w:p>
    <w:p>
      <w:pPr>
        <w:pStyle w:val="ListParagraph"/>
        <w:numPr>
          <w:ilvl w:val="0"/>
          <w:numId w:val="3"/>
        </w:numPr>
        <w:spacing w:after="60"/>
      </w:pPr>
      <w:r>
        <w:t xml:space="preserve">check_l3.py complet (C0–C9) — tout doit être OK, ou les anomalies préexistantes documentées (ex. PMIN_VALUE_CAPTURE, C2/C3, déjà connu — 37 valeurs, Sprint 21).</w:t>
      </w:r>
    </w:p>
    <w:p>
      <w:pPr>
        <w:pStyle w:val="ListParagraph"/>
        <w:numPr>
          <w:ilvl w:val="0"/>
          <w:numId w:val="3"/>
        </w:numPr>
        <w:spacing w:after="60"/>
      </w:pPr>
      <w:r>
        <w:t xml:space="preserve">Recalcul ma.compute_pillar_score pour 10 piliers × 15 ans, puis ma.compute_isa.</w:t>
      </w:r>
    </w:p>
    <w:p>
      <w:pPr>
        <w:pStyle w:val="ListParagraph"/>
        <w:numPr>
          <w:ilvl w:val="0"/>
          <w:numId w:val="3"/>
        </w:numPr>
        <w:spacing w:after="60"/>
      </w:pPr>
      <w:r>
        <w:t xml:space="preserve">Comparaison ma.pillar_scores avant/après — rapport d'écart par pilier / année / pays.</w:t>
      </w:r>
    </w:p>
    <w:p>
      <w:pPr>
        <w:pStyle w:val="ListParagraph"/>
        <w:numPr>
          <w:ilvl w:val="0"/>
          <w:numId w:val="3"/>
        </w:numPr>
        <w:spacing w:after="60"/>
      </w:pPr>
      <w:r>
        <w:t xml:space="preserve">Validation scientifique : revue de l'écart, décision de documentation (aucune communication externe attendue, statut PRELIMINARY/COLLECTING).</w:t>
      </w:r>
    </w:p>
    <w:p>
      <w:r>
        <w:br w:type="page"/>
      </w:r>
    </w:p>
    <w:p>
      <w:pPr>
        <w:pStyle w:val="Heading1"/>
      </w:pPr>
      <w:r>
        <w:t xml:space="preserve">5. Analyse SWOT</w:t>
      </w:r>
    </w:p>
    <w:p>
      <w:pPr>
        <w:pStyle w:val="Heading2"/>
      </w:pPr>
      <w:r>
        <w:t xml:space="preserve">Forces</w:t>
      </w:r>
    </w:p>
    <w:p>
      <w:pPr>
        <w:pStyle w:val="ListParagraph"/>
        <w:numPr>
          <w:ilvl w:val="0"/>
          <w:numId w:val="2"/>
        </w:numPr>
        <w:spacing w:after="60"/>
      </w:pPr>
      <w:r>
        <w:t xml:space="preserve">Cause racine identifiée précisément, à la ligne de code — fait vérifié, non une hypothèse.</w:t>
      </w:r>
    </w:p>
    <w:p>
      <w:pPr>
        <w:pStyle w:val="ListParagraph"/>
        <w:numPr>
          <w:ilvl w:val="0"/>
          <w:numId w:val="2"/>
        </w:numPr>
        <w:spacing w:after="60"/>
      </w:pPr>
      <w:r>
        <w:t xml:space="preserve">Outil de détection permanent déjà en place (check_l3.py, C0), opérationnel et validé en conditions réelles (224 indicateurs/couches détectés).</w:t>
      </w:r>
    </w:p>
    <w:p>
      <w:pPr>
        <w:pStyle w:val="ListParagraph"/>
        <w:numPr>
          <w:ilvl w:val="0"/>
          <w:numId w:val="2"/>
        </w:numPr>
        <w:spacing w:after="60"/>
      </w:pPr>
      <w:r>
        <w:t xml:space="preserve">Statut PRELIMINARY/COLLECTING : fenêtre de correction sans pression externe, aucune rétroaction de communication publique requise.</w:t>
      </w:r>
    </w:p>
    <w:p>
      <w:pPr>
        <w:pStyle w:val="ListParagraph"/>
        <w:numPr>
          <w:ilvl w:val="0"/>
          <w:numId w:val="2"/>
        </w:numPr>
        <w:spacing w:after="60"/>
      </w:pPr>
      <w:r>
        <w:t xml:space="preserve">Correction structurelle (DEFAULT sur colonne) ferme la classe entière de bugs en une seule commande, pour tous producteurs présents et futurs.</w:t>
      </w:r>
    </w:p>
    <w:p>
      <w:pPr>
        <w:pStyle w:val="ListParagraph"/>
        <w:numPr>
          <w:ilvl w:val="0"/>
          <w:numId w:val="2"/>
        </w:numPr>
        <w:spacing w:after="60"/>
      </w:pPr>
      <w:r>
        <w:t xml:space="preserve">ma.indicator_method_versions est propre et cohérent (6 versions actives, id=1 valide) — la fondation de référence est saine.</w:t>
      </w:r>
    </w:p>
    <w:p>
      <w:pPr>
        <w:pStyle w:val="Heading2"/>
      </w:pPr>
      <w:r>
        <w:t xml:space="preserve">Faiblesses</w:t>
      </w:r>
    </w:p>
    <w:p>
      <w:pPr>
        <w:pStyle w:val="ListParagraph"/>
        <w:numPr>
          <w:ilvl w:val="0"/>
          <w:numId w:val="2"/>
        </w:numPr>
        <w:spacing w:after="60"/>
      </w:pPr>
      <w:r>
        <w:t xml:space="preserve">Volume (1,29 M lignes, ratio de dédoublonnage ~4x) — toute opération sur cette table est lourde, risque de verrouillage long pendant DELETE/UPDATE.</w:t>
      </w:r>
    </w:p>
    <w:p>
      <w:pPr>
        <w:pStyle w:val="ListParagraph"/>
        <w:numPr>
          <w:ilvl w:val="0"/>
          <w:numId w:val="2"/>
        </w:numPr>
        <w:spacing w:after="60"/>
      </w:pPr>
      <w:r>
        <w:t xml:space="preserve">Recalcul complet L2→L3→piliers→ISA pour 143 indicateurs × 54 pays × 15 ans est un calcul substantiel — temps d'exécution à anticiper.</w:t>
      </w:r>
    </w:p>
    <w:p>
      <w:pPr>
        <w:pStyle w:val="ListParagraph"/>
        <w:numPr>
          <w:ilvl w:val="0"/>
          <w:numId w:val="2"/>
        </w:numPr>
        <w:spacing w:after="60"/>
      </w:pPr>
      <w:r>
        <w:t xml:space="preserve">Dette historique : impossible de savoir avec certitude quand chaque doublon a été introduit (created_at pas systématiquement discriminant si les copies divergent).</w:t>
      </w:r>
    </w:p>
    <w:p>
      <w:pPr>
        <w:pStyle w:val="ListParagraph"/>
        <w:numPr>
          <w:ilvl w:val="0"/>
          <w:numId w:val="2"/>
        </w:numPr>
        <w:spacing w:after="60"/>
      </w:pPr>
      <w:r>
        <w:t xml:space="preserve">usgs_to_indicator_values.sql et comtrade_to_indicator_values.sql non encore audités pour le même défaut — risque de découvrir d'autres cas en cours de route.</w:t>
      </w:r>
    </w:p>
    <w:p>
      <w:pPr>
        <w:pStyle w:val="Heading2"/>
      </w:pPr>
      <w:r>
        <w:t xml:space="preserve">Opportunités</w:t>
      </w:r>
    </w:p>
    <w:p>
      <w:pPr>
        <w:pStyle w:val="ListParagraph"/>
        <w:numPr>
          <w:ilvl w:val="0"/>
          <w:numId w:val="2"/>
        </w:numPr>
        <w:spacing w:after="60"/>
      </w:pPr>
      <w:r>
        <w:t xml:space="preserve">Ferme définitivement ce sujet avant le Sprint 25 (collecte 2025) — la nouvelle donnée s'inscrira dans un pipeline assaini dès le départ.</w:t>
      </w:r>
    </w:p>
    <w:p>
      <w:pPr>
        <w:pStyle w:val="ListParagraph"/>
        <w:numPr>
          <w:ilvl w:val="0"/>
          <w:numId w:val="2"/>
        </w:numPr>
        <w:spacing w:after="60"/>
      </w:pPr>
      <w:r>
        <w:t xml:space="preserve">L'écart avant/après scores, une fois mesuré, devient un élément de documentation doctrinale — preuve de robustesse du processus de validation pré-publication, argument positif pour la crédibilité scientifique de l'Observatoire.</w:t>
      </w:r>
    </w:p>
    <w:p>
      <w:pPr>
        <w:pStyle w:val="ListParagraph"/>
        <w:numPr>
          <w:ilvl w:val="0"/>
          <w:numId w:val="2"/>
        </w:numPr>
        <w:spacing w:after="60"/>
      </w:pPr>
      <w:r>
        <w:t xml:space="preserve">Occasion de généraliser C0 comme étape obligatoire de fin de pipeline (CI/healthcheck), empêchant toute récidive future de manière permanente.</w:t>
      </w:r>
    </w:p>
    <w:p>
      <w:pPr>
        <w:pStyle w:val="Heading2"/>
      </w:pPr>
      <w:r>
        <w:t xml:space="preserve">Menaces</w:t>
      </w:r>
    </w:p>
    <w:p>
      <w:pPr>
        <w:pStyle w:val="ListParagraph"/>
        <w:numPr>
          <w:ilvl w:val="0"/>
          <w:numId w:val="2"/>
        </w:numPr>
        <w:spacing w:after="60"/>
      </w:pPr>
      <w:r>
        <w:t xml:space="preserve">Si l'écart de scores après recalcul est important sur des piliers déjà montrés en démonstration/accès anticipé, risque de devoir réexpliquer — mitigé par le statut PRELIMINARY mais à anticiper côté discours.</w:t>
      </w:r>
    </w:p>
    <w:p>
      <w:pPr>
        <w:pStyle w:val="ListParagraph"/>
        <w:numPr>
          <w:ilvl w:val="0"/>
          <w:numId w:val="2"/>
        </w:numPr>
        <w:spacing w:after="60"/>
      </w:pPr>
      <w:r>
        <w:t xml:space="preserve">Risque d'erreur humaine pendant les opérations destructives (DELETE sur 1,29 M lignes) sans sauvegarde préalable robuste — mitigation : pg_dump obligatoire avant toute opération destructive.</w:t>
      </w:r>
    </w:p>
    <w:p>
      <w:pPr>
        <w:pStyle w:val="ListParagraph"/>
        <w:numPr>
          <w:ilvl w:val="0"/>
          <w:numId w:val="2"/>
        </w:numPr>
        <w:spacing w:after="60"/>
      </w:pPr>
      <w:r>
        <w:t xml:space="preserve">Si d'autres causes de duplication existent au-delà de method_version_id (autre champ NULL dans une autre contrainte, schémas mg/pub), ce sprint pourrait révéler un nouveau front — à surveiller via C0 généralisé à d'autres tables si pertinent.</w:t>
      </w:r>
    </w:p>
    <w:p>
      <w:r>
        <w:br w:type="page"/>
      </w:r>
    </w:p>
    <w:p>
      <w:pPr>
        <w:pStyle w:val="Heading1"/>
      </w:pPr>
      <w:r>
        <w:t xml:space="preserve">6. Points ouverts — décisions requises avant exécution</w:t>
      </w:r>
    </w:p>
    <w:p>
      <w:pPr>
        <w:pStyle w:val="Heading3"/>
      </w:pPr>
      <w:r>
        <w:t xml:space="preserve">6.1 Critère de déduplication</w:t>
      </w:r>
    </w:p>
    <w:p>
      <w:pPr>
        <w:spacing w:after="120"/>
      </w:pPr>
      <w:r>
        <w:t xml:space="preserve">MIN(id) (conserver la ligne la plus ancienne) ou autre critère ? À trancher après vérification : les doublons ont-ils des processed_value / confidence_score identiques entre copies (cas observé sur ENV_FOR) ou divergents pour certains indicateurs à fort ratio (ex. ECO_PUBLIC_LEAKAGE x352) ? Un échantillonnage ciblé sur ces cas permettra de choisir un critère qui ne perd pas d'information.</w:t>
      </w:r>
    </w:p>
    <w:p>
      <w:pPr>
        <w:pStyle w:val="Heading3"/>
      </w:pPr>
      <w:r>
        <w:t xml:space="preserve">6.2 Sauvegarde préalable</w:t>
      </w:r>
    </w:p>
    <w:p>
      <w:pPr>
        <w:spacing w:after="120"/>
      </w:pPr>
      <w:r>
        <w:t xml:space="preserve">Mécanisme à confirmer : pg_dump -t ma.indicator_values -t ma.pillar_scores vers /home/ubuntu/ sur le VPS, puis éventuellement vers le Swiss Backup rClone existant (cron quotidien 02:00 UTC, 30 jours de rétention locale + Infomaniak).</w:t>
      </w:r>
    </w:p>
    <w:p>
      <w:pPr>
        <w:pStyle w:val="Heading3"/>
      </w:pPr>
      <w:r>
        <w:t xml:space="preserve">6.3 Périmètre des scripts *_to_indicator_values.sql</w:t>
      </w:r>
    </w:p>
    <w:p>
      <w:pPr>
        <w:spacing w:after="120"/>
      </w:pPr>
      <w:r>
        <w:t xml:space="preserve">usgs_to_indicator_values.sql et comtrade_to_indicator_values.sql ont-ils le même défaut (method_version_id omis de l'INSERT) que forest_to_indicator_values.sql ? À vérifier lors de la cartographie (©4, Comment, étape 2).</w:t>
      </w:r>
    </w:p>
    <w:p>
      <w:pPr>
        <w:pStyle w:val="Heading3"/>
      </w:pPr>
      <w:r>
        <w:t xml:space="preserve">6.4 Tolérance d'écart sur les scores recalculés</w:t>
      </w:r>
    </w:p>
    <w:p>
      <w:pPr>
        <w:spacing w:after="120"/>
      </w:pPr>
      <w:r>
        <w:t xml:space="preserve">Si, après recalcul, un score SOV_* pour une année/pilier donné passe d'une valeur plafonnée (~1,000) à une valeur significativement plus basse, quel est le protocole : simple documentation interne, ou notification de gouvernance (P9) même en phase PRELIMINARY/COLLECTING ?</w:t>
      </w:r>
    </w:p>
    <w:p>
      <w:pPr>
        <w:pBdr>
          <w:top w:val="single" w:color="1F4E5F" w:sz="6" w:space="8"/>
        </w:pBdr>
        <w:spacing w:before="400"/>
      </w:pPr>
      <w:r>
        <w:rPr>
          <w:i/>
          <w:iCs/>
          <w:color w:val="888888"/>
          <w:sz w:val="18"/>
          <w:szCs w:val="18"/>
        </w:rPr>
        <w:t xml:space="preserve">Document de constat — OSA Observatory — Sprint 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5F"/>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2026-06-15T13:43:57.336Z</dcterms:created>
  <dcterms:modified xsi:type="dcterms:W3CDTF">2026-06-15T13:43:57.337Z</dcterms:modified>
</cp:coreProperties>
</file>

<file path=docProps/custom.xml><?xml version="1.0" encoding="utf-8"?>
<Properties xmlns="http://schemas.openxmlformats.org/officeDocument/2006/custom-properties" xmlns:vt="http://schemas.openxmlformats.org/officeDocument/2006/docPropsVTypes"/>
</file>