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Arial" w:cs="Arial" w:eastAsia="Arial" w:hAnsi="Arial"/>
          <w:b/>
          <w:bCs/>
          <w:color w:val="1B3A6B"/>
          <w:sz w:val="52"/>
          <w:szCs w:val="52"/>
        </w:rPr>
        <w:t xml:space="preserve">OSA OBSERVATORY</w:t>
      </w:r>
    </w:p>
    <w:p>
      <w:pPr>
        <w:spacing w:after="480"/>
        <w:jc w:val="center"/>
      </w:pPr>
      <w:r>
        <w:rPr>
          <w:rFonts w:ascii="Arial" w:cs="Arial" w:eastAsia="Arial" w:hAnsi="Arial"/>
          <w:color w:val="C8A84B"/>
          <w:sz w:val="26"/>
          <w:szCs w:val="26"/>
        </w:rPr>
        <w:t xml:space="preserve">Observatoire de la Souverainete Africaine</w:t>
      </w:r>
    </w:p>
    <w:p>
      <w:pPr>
        <w:pBdr>
          <w:top w:val="single" w:color="1B3A6B" w:sz="8"/>
          <w:bottom w:val="single" w:color="1B3A6B" w:sz="8"/>
        </w:pBdr>
        <w:spacing w:after="200" w:before="200"/>
        <w:jc w:val="center"/>
      </w:pPr>
      <w:r>
        <w:rPr>
          <w:rFonts w:ascii="Arial" w:cs="Arial" w:eastAsia="Arial" w:hAnsi="Arial"/>
          <w:b/>
          <w:bCs/>
          <w:color w:val="1B3A6B"/>
          <w:sz w:val="40"/>
          <w:szCs w:val="40"/>
        </w:rPr>
        <w:t xml:space="preserve">RAPPORT FINAL — SPRINT 21</w:t>
      </w:r>
    </w:p>
    <w:p>
      <w:pPr>
        <w:spacing w:after="480"/>
      </w:pPr>
      <w:r>
        <w:t xml:space="preserve"/>
      </w:r>
    </w:p>
    <w:p>
      <w:pPr>
        <w:spacing w:after="120"/>
        <w:jc w:val="center"/>
      </w:pPr>
      <w:r>
        <w:rPr>
          <w:rFonts w:ascii="Arial" w:cs="Arial" w:eastAsia="Arial" w:hAnsi="Arial"/>
          <w:b/>
          <w:bCs/>
          <w:color w:val="2E75B6"/>
          <w:sz w:val="24"/>
          <w:szCs w:val="24"/>
        </w:rPr>
        <w:t xml:space="preserve">OSA Sovereign Intelligence — Produit 3</w:t>
      </w:r>
    </w:p>
    <w:p>
      <w:pPr>
        <w:spacing w:after="480"/>
        <w:jc w:val="center"/>
      </w:pPr>
      <w:r>
        <w:rPr>
          <w:rFonts w:ascii="Arial" w:cs="Arial" w:eastAsia="Arial" w:hAnsi="Arial"/>
          <w:i/>
          <w:iCs/>
          <w:color w:val="595959"/>
          <w:sz w:val="22"/>
          <w:szCs w:val="22"/>
        </w:rPr>
        <w:t xml:space="preserve">Indicateurs TRAJECTOIRE · Pipeline L1→L2→L3 · Publication ISA 2021–2024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jc w:val="center"/>
            </w:pPr>
            <w:r>
              <w:rPr>
                <w:rFonts w:ascii="Arial" w:cs="Arial" w:eastAsia="Arial" w:hAnsi="Arial"/>
                <w:color w:val="595959"/>
                <w:sz w:val="22"/>
                <w:szCs w:val="22"/>
              </w:rPr>
              <w:t xml:space="preserve">Date : 11 juin 2026</w:t>
            </w:r>
          </w:p>
          <w:p>
            <w:pPr>
              <w:jc w:val="center"/>
            </w:pPr>
            <w:r>
              <w:rPr>
                <w:rFonts w:ascii="Arial" w:cs="Arial" w:eastAsia="Arial" w:hAnsi="Arial"/>
                <w:color w:val="595959"/>
                <w:sz w:val="22"/>
                <w:szCs w:val="22"/>
              </w:rPr>
              <w:t xml:space="preserve">Auteur : Theophile Bakang — Architecte principal OSA Observatory</w:t>
            </w:r>
          </w:p>
          <w:p>
            <w:pPr>
              <w:jc w:val="center"/>
            </w:pPr>
            <w:r>
              <w:rPr>
                <w:rFonts w:ascii="Arial" w:cs="Arial" w:eastAsia="Arial" w:hAnsi="Arial"/>
                <w:color w:val="595959"/>
                <w:sz w:val="20"/>
                <w:szCs w:val="20"/>
              </w:rPr>
              <w:t xml:space="preserve">Infrastructure : VPS Infomaniak ov-492ff0 · PostgreSQL 17 · FastAPI v2.0.0-production</w:t>
            </w:r>
          </w:p>
          <w:p>
            <w:pPr>
              <w:jc w:val="center"/>
            </w:pPr>
            <w:r>
              <w:rPr>
                <w:rFonts w:ascii="Arial" w:cs="Arial" w:eastAsia="Arial" w:hAnsi="Arial"/>
                <w:i/>
                <w:iCs/>
                <w:color w:val="595959"/>
                <w:sz w:val="20"/>
                <w:szCs w:val="20"/>
              </w:rPr>
              <w:t xml:space="preserve">Repo : github.com/Bath4856/osa-observatory · HEAD : 9c1ff6f</w:t>
            </w:r>
          </w:p>
        </w:tc>
      </w:tr>
    </w:tbl>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Résumé exécutif</w:t>
      </w:r>
    </w:p>
    <w:p>
      <w:pPr>
        <w:spacing w:after="120"/>
        <w:jc w:val="both"/>
      </w:pPr>
      <w:r>
        <w:rPr>
          <w:rFonts w:ascii="Arial" w:cs="Arial" w:eastAsia="Arial" w:hAnsi="Arial"/>
          <w:b w:val="false"/>
          <w:bCs w:val="false"/>
          <w:i w:val="false"/>
          <w:iCs w:val="false"/>
          <w:color w:val="000000"/>
          <w:sz w:val="22"/>
          <w:szCs w:val="22"/>
        </w:rPr>
        <w:t xml:space="preserve">Le Sprint 21 constitue une etape fondatrice pour OSA Observatory. Il livre simultanement trois avancees majeures : la creation du Produit 3 (OSA Sovereign Intelligence) avec ses premiers indicateurs TRAJECTOIRE, la mise en production d'une publication ISA complète 2021–2024 sur le portail public, et la formalisation de la politique de publication institutionnelle avec son cycle Y/Y-1.</w:t>
      </w:r>
    </w:p>
    <w:p>
      <w:pPr>
        <w:spacing w:after="80"/>
      </w:pPr>
      <w:r>
        <w:t xml:space="preserve"/>
      </w:r>
    </w:p>
    <w:p>
      <w:pPr>
        <w:spacing w:after="120"/>
        <w:jc w:val="both"/>
      </w:pPr>
      <w:r>
        <w:rPr>
          <w:rFonts w:ascii="Arial" w:cs="Arial" w:eastAsia="Arial" w:hAnsi="Arial"/>
          <w:b w:val="false"/>
          <w:bCs w:val="false"/>
          <w:i w:val="false"/>
          <w:iCs w:val="false"/>
          <w:color w:val="000000"/>
          <w:sz w:val="22"/>
          <w:szCs w:val="22"/>
        </w:rPr>
        <w:t xml:space="preserve">Au terme de ce sprint, la plateforme OSA est techniquement operationnelle, doctrinalement cohérente, et ouverte en acces anticipe aux organisations africaines, partenaires du developpement, chercheurs et academiciens. La premiere publication institutionnelle ISA est planifiee en septembre 2027.</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DAEEF3"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998 675</w:t>
            </w:r>
          </w:p>
          <w:p>
            <w:pPr>
              <w:jc w:val="center"/>
            </w:pPr>
            <w:r>
              <w:rPr>
                <w:rFonts w:ascii="Arial" w:cs="Arial" w:eastAsia="Arial" w:hAnsi="Arial"/>
                <w:color w:val="2E75B6"/>
                <w:sz w:val="18"/>
                <w:szCs w:val="18"/>
              </w:rPr>
              <w:t xml:space="preserve">observations</w:t>
            </w:r>
          </w:p>
          <w:p>
            <w:pPr>
              <w:jc w:val="center"/>
            </w:pPr>
            <w:r>
              <w:rPr>
                <w:rFonts w:ascii="Arial" w:cs="Arial" w:eastAsia="Arial" w:hAnsi="Arial"/>
                <w:color w:val="595959"/>
                <w:sz w:val="18"/>
                <w:szCs w:val="18"/>
              </w:rPr>
              <w:t xml:space="preserve">Valeurs L3 en base</w:t>
            </w:r>
          </w:p>
        </w:tc>
        <w:tc>
          <w:tcPr>
            <w:tcW w:type="dxa" w:w="2200"/>
            <w:tcBorders>
              <w:top w:val="single" w:color="CCCCCC" w:sz="1"/>
              <w:left w:val="single" w:color="CCCCCC" w:sz="1"/>
              <w:bottom w:val="single" w:color="CCCCCC" w:sz="1"/>
              <w:right w:val="single" w:color="CCCCCC" w:sz="1"/>
            </w:tcBorders>
            <w:shd w:fill="E2F0D9"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54</w:t>
            </w:r>
          </w:p>
          <w:p>
            <w:pPr>
              <w:jc w:val="center"/>
            </w:pPr>
            <w:r>
              <w:rPr>
                <w:rFonts w:ascii="Arial" w:cs="Arial" w:eastAsia="Arial" w:hAnsi="Arial"/>
                <w:color w:val="2E75B6"/>
                <w:sz w:val="18"/>
                <w:szCs w:val="18"/>
              </w:rPr>
              <w:t xml:space="preserve">etats africains</w:t>
            </w:r>
          </w:p>
          <w:p>
            <w:pPr>
              <w:jc w:val="center"/>
            </w:pPr>
            <w:r>
              <w:rPr>
                <w:rFonts w:ascii="Arial" w:cs="Arial" w:eastAsia="Arial" w:hAnsi="Arial"/>
                <w:color w:val="595959"/>
                <w:sz w:val="18"/>
                <w:szCs w:val="18"/>
              </w:rPr>
              <w:t xml:space="preserve">Pays couverts</w:t>
            </w:r>
          </w:p>
        </w:tc>
        <w:tc>
          <w:tcPr>
            <w:tcW w:type="dxa" w:w="2200"/>
            <w:tcBorders>
              <w:top w:val="single" w:color="CCCCCC" w:sz="1"/>
              <w:left w:val="single" w:color="CCCCCC" w:sz="1"/>
              <w:bottom w:val="single" w:color="CCCCCC" w:sz="1"/>
              <w:right w:val="single" w:color="CCCCCC" w:sz="1"/>
            </w:tcBorders>
            <w:shd w:fill="DAEEF3"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236</w:t>
            </w:r>
          </w:p>
          <w:p>
            <w:pPr>
              <w:jc w:val="center"/>
            </w:pPr>
            <w:r>
              <w:rPr>
                <w:rFonts w:ascii="Arial" w:cs="Arial" w:eastAsia="Arial" w:hAnsi="Arial"/>
                <w:color w:val="2E75B6"/>
                <w:sz w:val="18"/>
                <w:szCs w:val="18"/>
              </w:rPr>
              <w:t xml:space="preserve">sur 244</w:t>
            </w:r>
          </w:p>
          <w:p>
            <w:pPr>
              <w:jc w:val="center"/>
            </w:pPr>
            <w:r>
              <w:rPr>
                <w:rFonts w:ascii="Arial" w:cs="Arial" w:eastAsia="Arial" w:hAnsi="Arial"/>
                <w:color w:val="595959"/>
                <w:sz w:val="18"/>
                <w:szCs w:val="18"/>
              </w:rPr>
              <w:t xml:space="preserve">Indicateurs actifs</w:t>
            </w:r>
          </w:p>
        </w:tc>
        <w:tc>
          <w:tcPr>
            <w:tcW w:type="dxa" w:w="2200"/>
            <w:tcBorders>
              <w:top w:val="single" w:color="CCCCCC" w:sz="1"/>
              <w:left w:val="single" w:color="CCCCCC" w:sz="1"/>
              <w:bottom w:val="single" w:color="CCCCCC" w:sz="1"/>
              <w:right w:val="single" w:color="CCCCCC" w:sz="1"/>
            </w:tcBorders>
            <w:shd w:fill="E2F0D9"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2021–2024</w:t>
            </w:r>
          </w:p>
          <w:p>
            <w:pPr>
              <w:jc w:val="center"/>
            </w:pPr>
            <w:r>
              <w:rPr>
                <w:rFonts w:ascii="Arial" w:cs="Arial" w:eastAsia="Arial" w:hAnsi="Arial"/>
                <w:color w:val="2E75B6"/>
                <w:sz w:val="18"/>
                <w:szCs w:val="18"/>
              </w:rPr>
              <w:t xml:space="preserve">4 editions</w:t>
            </w:r>
          </w:p>
          <w:p>
            <w:pPr>
              <w:jc w:val="center"/>
            </w:pPr>
            <w:r>
              <w:rPr>
                <w:rFonts w:ascii="Arial" w:cs="Arial" w:eastAsia="Arial" w:hAnsi="Arial"/>
                <w:color w:val="595959"/>
                <w:sz w:val="18"/>
                <w:szCs w:val="18"/>
              </w:rPr>
              <w:t xml:space="preserve">Annees publiees</w:t>
            </w:r>
          </w:p>
        </w:tc>
      </w:tr>
      <w:tr>
        <w:tc>
          <w:tcPr>
            <w:tcW w:type="dxa" w:w="220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4</w:t>
            </w:r>
          </w:p>
          <w:p>
            <w:pPr>
              <w:jc w:val="center"/>
            </w:pPr>
            <w:r>
              <w:rPr>
                <w:rFonts w:ascii="Arial" w:cs="Arial" w:eastAsia="Arial" w:hAnsi="Arial"/>
                <w:color w:val="2E75B6"/>
                <w:sz w:val="18"/>
                <w:szCs w:val="18"/>
              </w:rPr>
              <w:t xml:space="preserve">Produit 3</w:t>
            </w:r>
          </w:p>
          <w:p>
            <w:pPr>
              <w:jc w:val="center"/>
            </w:pPr>
            <w:r>
              <w:rPr>
                <w:rFonts w:ascii="Arial" w:cs="Arial" w:eastAsia="Arial" w:hAnsi="Arial"/>
                <w:color w:val="595959"/>
                <w:sz w:val="18"/>
                <w:szCs w:val="18"/>
              </w:rPr>
              <w:t xml:space="preserve">Indicateurs TRAJECTOIRE</w:t>
            </w:r>
          </w:p>
        </w:tc>
        <w:tc>
          <w:tcPr>
            <w:tcW w:type="dxa" w:w="2200"/>
            <w:tcBorders>
              <w:top w:val="single" w:color="CCCCCC" w:sz="1"/>
              <w:left w:val="single" w:color="CCCCCC" w:sz="1"/>
              <w:bottom w:val="single" w:color="CCCCCC" w:sz="1"/>
              <w:right w:val="single" w:color="CCCCCC" w:sz="1"/>
            </w:tcBorders>
            <w:shd w:fill="DAEEF3"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2 700</w:t>
            </w:r>
          </w:p>
          <w:p>
            <w:pPr>
              <w:jc w:val="center"/>
            </w:pPr>
            <w:r>
              <w:rPr>
                <w:rFonts w:ascii="Arial" w:cs="Arial" w:eastAsia="Arial" w:hAnsi="Arial"/>
                <w:color w:val="2E75B6"/>
                <w:sz w:val="18"/>
                <w:szCs w:val="18"/>
              </w:rPr>
              <w:t xml:space="preserve">54x10x5</w:t>
            </w:r>
          </w:p>
          <w:p>
            <w:pPr>
              <w:jc w:val="center"/>
            </w:pPr>
            <w:r>
              <w:rPr>
                <w:rFonts w:ascii="Arial" w:cs="Arial" w:eastAsia="Arial" w:hAnsi="Arial"/>
                <w:color w:val="595959"/>
                <w:sz w:val="18"/>
                <w:szCs w:val="18"/>
              </w:rPr>
              <w:t xml:space="preserve">Trajectoires</w:t>
            </w:r>
          </w:p>
        </w:tc>
        <w:tc>
          <w:tcPr>
            <w:tcW w:type="dxa" w:w="2200"/>
            <w:tcBorders>
              <w:top w:val="single" w:color="CCCCCC" w:sz="1"/>
              <w:left w:val="single" w:color="CCCCCC" w:sz="1"/>
              <w:bottom w:val="single" w:color="CCCCCC" w:sz="1"/>
              <w:right w:val="single" w:color="CCCCCC" w:sz="1"/>
            </w:tcBorders>
            <w:shd w:fill="E2F0D9"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18</w:t>
            </w:r>
          </w:p>
          <w:p>
            <w:pPr>
              <w:jc w:val="center"/>
            </w:pPr>
            <w:r>
              <w:rPr>
                <w:rFonts w:ascii="Arial" w:cs="Arial" w:eastAsia="Arial" w:hAnsi="Arial"/>
                <w:color w:val="2E75B6"/>
                <w:sz w:val="18"/>
                <w:szCs w:val="18"/>
              </w:rPr>
              <w:t xml:space="preserve">10 piliers EN/FR</w:t>
            </w:r>
          </w:p>
          <w:p>
            <w:pPr>
              <w:jc w:val="center"/>
            </w:pPr>
            <w:r>
              <w:rPr>
                <w:rFonts w:ascii="Arial" w:cs="Arial" w:eastAsia="Arial" w:hAnsi="Arial"/>
                <w:color w:val="595959"/>
                <w:sz w:val="18"/>
                <w:szCs w:val="18"/>
              </w:rPr>
              <w:t xml:space="preserve">Projets souverains</w:t>
            </w:r>
          </w:p>
        </w:tc>
        <w:tc>
          <w:tcPr>
            <w:tcW w:type="dxa" w:w="2200"/>
            <w:tcBorders>
              <w:top w:val="single" w:color="CCCCCC" w:sz="1"/>
              <w:left w:val="single" w:color="CCCCCC" w:sz="1"/>
              <w:bottom w:val="single" w:color="CCCCCC" w:sz="1"/>
              <w:right w:val="single" w:color="CCCCCC" w:sz="1"/>
            </w:tcBorders>
            <w:shd w:fill="DAEEF3"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7 années</w:t>
            </w:r>
          </w:p>
          <w:p>
            <w:pPr>
              <w:jc w:val="center"/>
            </w:pPr>
            <w:r>
              <w:rPr>
                <w:rFonts w:ascii="Arial" w:cs="Arial" w:eastAsia="Arial" w:hAnsi="Arial"/>
                <w:color w:val="2E75B6"/>
                <w:sz w:val="18"/>
                <w:szCs w:val="18"/>
              </w:rPr>
              <w:t xml:space="preserve">2020–2026</w:t>
            </w:r>
          </w:p>
          <w:p>
            <w:pPr>
              <w:jc w:val="center"/>
            </w:pPr>
            <w:r>
              <w:rPr>
                <w:rFonts w:ascii="Arial" w:cs="Arial" w:eastAsia="Arial" w:hAnsi="Arial"/>
                <w:color w:val="595959"/>
                <w:sz w:val="18"/>
                <w:szCs w:val="18"/>
              </w:rPr>
              <w:t xml:space="preserve">Politique publication</w:t>
            </w:r>
          </w:p>
        </w:tc>
      </w:tr>
    </w:tbl>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1. Contexte et objectifs du Sprint 21</w:t>
      </w:r>
    </w:p>
    <w:p>
      <w:pPr>
        <w:spacing w:after="120"/>
        <w:jc w:val="both"/>
      </w:pPr>
      <w:r>
        <w:rPr>
          <w:rFonts w:ascii="Arial" w:cs="Arial" w:eastAsia="Arial" w:hAnsi="Arial"/>
          <w:b w:val="false"/>
          <w:bCs w:val="false"/>
          <w:i w:val="false"/>
          <w:iCs w:val="false"/>
          <w:color w:val="000000"/>
          <w:sz w:val="22"/>
          <w:szCs w:val="22"/>
        </w:rPr>
        <w:t xml:space="preserve">Le Sprint 21 s'inscrit dans la phase de maturite operationnelle d'OSA Observatory. A l'entree du sprint, le pipeline L1→L2→L3 etait stable, les scores ISA 2021–2024 calcules, et le portail public accessible. Les objectifs du sprint etaient :</w:t>
      </w:r>
    </w:p>
    <w:p>
      <w:pPr>
        <w:spacing w:after="80"/>
      </w:pPr>
      <w:r>
        <w:t xml:space="preserve"/>
      </w:r>
    </w:p>
    <w:p>
      <w:pPr>
        <w:pStyle w:val="ListParagraph"/>
        <w:numPr>
          <w:ilvl w:val="0"/>
          <w:numId w:val="2"/>
        </w:numPr>
        <w:spacing w:after="60"/>
      </w:pPr>
      <w:r>
        <w:rPr>
          <w:rFonts w:ascii="Arial" w:cs="Arial" w:eastAsia="Arial" w:hAnsi="Arial"/>
          <w:sz w:val="22"/>
          <w:szCs w:val="22"/>
        </w:rPr>
        <w:t xml:space="preserve">Livrer le Produit 3 — OSA Sovereign Intelligence — avec les premiers indicateurs TRAJECTOIRE</w:t>
      </w:r>
    </w:p>
    <w:p>
      <w:pPr>
        <w:pStyle w:val="ListParagraph"/>
        <w:numPr>
          <w:ilvl w:val="0"/>
          <w:numId w:val="2"/>
        </w:numPr>
        <w:spacing w:after="60"/>
      </w:pPr>
      <w:r>
        <w:rPr>
          <w:rFonts w:ascii="Arial" w:cs="Arial" w:eastAsia="Arial" w:hAnsi="Arial"/>
          <w:sz w:val="22"/>
          <w:szCs w:val="22"/>
        </w:rPr>
        <w:t xml:space="preserve">Mettre en production les scores ISA reels 2021–2024 sur le portail public</w:t>
      </w:r>
    </w:p>
    <w:p>
      <w:pPr>
        <w:pStyle w:val="ListParagraph"/>
        <w:numPr>
          <w:ilvl w:val="0"/>
          <w:numId w:val="2"/>
        </w:numPr>
        <w:spacing w:after="60"/>
      </w:pPr>
      <w:r>
        <w:rPr>
          <w:rFonts w:ascii="Arial" w:cs="Arial" w:eastAsia="Arial" w:hAnsi="Arial"/>
          <w:sz w:val="22"/>
          <w:szCs w:val="22"/>
        </w:rPr>
        <w:t xml:space="preserve">Formaliser la politique de publication institutionnelle et son cycle Y/Y-1</w:t>
      </w:r>
    </w:p>
    <w:p>
      <w:pPr>
        <w:pStyle w:val="ListParagraph"/>
        <w:numPr>
          <w:ilvl w:val="0"/>
          <w:numId w:val="2"/>
        </w:numPr>
        <w:spacing w:after="60"/>
      </w:pPr>
      <w:r>
        <w:rPr>
          <w:rFonts w:ascii="Arial" w:cs="Arial" w:eastAsia="Arial" w:hAnsi="Arial"/>
          <w:sz w:val="22"/>
          <w:szCs w:val="22"/>
        </w:rPr>
        <w:t xml:space="preserve">Assainir la doctrine scientifique : exclusion definitive des sources perceptuelles WGI</w:t>
      </w:r>
    </w:p>
    <w:p>
      <w:pPr>
        <w:pStyle w:val="ListParagraph"/>
        <w:numPr>
          <w:ilvl w:val="0"/>
          <w:numId w:val="2"/>
        </w:numPr>
        <w:spacing w:after="60"/>
      </w:pPr>
      <w:r>
        <w:rPr>
          <w:rFonts w:ascii="Arial" w:cs="Arial" w:eastAsia="Arial" w:hAnsi="Arial"/>
          <w:sz w:val="22"/>
          <w:szCs w:val="22"/>
        </w:rPr>
        <w:t xml:space="preserve">Completer la documentation Swagger pour l'ouverture aux partenaires institutionnels</w:t>
      </w:r>
    </w:p>
    <w:p>
      <w:pPr>
        <w:pStyle w:val="ListParagraph"/>
        <w:numPr>
          <w:ilvl w:val="0"/>
          <w:numId w:val="2"/>
        </w:numPr>
        <w:spacing w:after="60"/>
      </w:pPr>
      <w:r>
        <w:rPr>
          <w:rFonts w:ascii="Arial" w:cs="Arial" w:eastAsia="Arial" w:hAnsi="Arial"/>
          <w:sz w:val="22"/>
          <w:szCs w:val="22"/>
        </w:rPr>
        <w:t xml:space="preserve">Deployer la surveillance operationnelle : rapport sante quotidien, dashboard Grafana</w:t>
      </w:r>
    </w:p>
    <w:p>
      <w:pPr>
        <w:spacing w:after="80"/>
      </w:pPr>
      <w:r>
        <w:t xml:space="preserve"/>
      </w:r>
    </w:p>
    <w:p>
      <w:pPr>
        <w:pStyle w:val="Heading1"/>
        <w:pBdr>
          <w:bottom w:val="single" w:color="C8A84B" w:sz="6" w:space="1"/>
        </w:pBdr>
        <w:spacing w:after="160" w:before="320"/>
      </w:pPr>
      <w:r>
        <w:rPr>
          <w:rFonts w:ascii="Arial" w:cs="Arial" w:eastAsia="Arial" w:hAnsi="Arial"/>
          <w:b/>
          <w:bCs/>
          <w:color w:val="1B3A6B"/>
          <w:sz w:val="30"/>
          <w:szCs w:val="30"/>
        </w:rPr>
        <w:t xml:space="preserve">2. Produit 3 — OSA Sovereign Intelligence : indicateurs TRAJECTOIRE</w:t>
      </w:r>
    </w:p>
    <w:p>
      <w:pPr>
        <w:spacing w:after="120"/>
        <w:jc w:val="both"/>
      </w:pPr>
      <w:r>
        <w:rPr>
          <w:rFonts w:ascii="Arial" w:cs="Arial" w:eastAsia="Arial" w:hAnsi="Arial"/>
          <w:b w:val="false"/>
          <w:bCs w:val="false"/>
          <w:i w:val="false"/>
          <w:iCs w:val="false"/>
          <w:color w:val="000000"/>
          <w:sz w:val="22"/>
          <w:szCs w:val="22"/>
        </w:rPr>
        <w:t xml:space="preserve">Le Sprint 21 livre les quatre premiers indicateurs TRAJECTOIRE, constituant le coeur analytique d'OSA Sovereign Intelligence. Ces indicateurs ne sont pas des mesures directes de souverainete — ils mesurent les dynamiques de captation ou de fuite de valeur souveraine dans des dimensions specifiques.</w:t>
      </w:r>
    </w:p>
    <w:p>
      <w:pPr>
        <w:spacing w:after="80"/>
      </w:pPr>
      <w:r>
        <w:t xml:space="preserve"/>
      </w:r>
    </w:p>
    <w:p>
      <w:pPr>
        <w:pStyle w:val="Heading2"/>
        <w:spacing w:after="120" w:before="240"/>
      </w:pPr>
      <w:r>
        <w:rPr>
          <w:rFonts w:ascii="Arial" w:cs="Arial" w:eastAsia="Arial" w:hAnsi="Arial"/>
          <w:b/>
          <w:bCs/>
          <w:color w:val="2E75B6"/>
          <w:sz w:val="24"/>
          <w:szCs w:val="24"/>
        </w:rPr>
        <w:t xml:space="preserve">2.1 Architecture TRAJECTOIRE</w:t>
      </w:r>
    </w:p>
    <w:p>
      <w:pPr>
        <w:spacing w:after="120"/>
        <w:jc w:val="both"/>
      </w:pPr>
      <w:r>
        <w:rPr>
          <w:rFonts w:ascii="Arial" w:cs="Arial" w:eastAsia="Arial" w:hAnsi="Arial"/>
          <w:b w:val="false"/>
          <w:bCs w:val="false"/>
          <w:i w:val="false"/>
          <w:iCs w:val="false"/>
          <w:color w:val="000000"/>
          <w:sz w:val="22"/>
          <w:szCs w:val="22"/>
        </w:rPr>
        <w:t xml:space="preserve">Les indicateurs TRAJECTOIRE naissent apres le pipeline L2 — ils ne sont pas calculés depuis des donnees brutes L1, mais depuis des series consolidees et imputees. Ils ne s'integrent pas dans le calcul ISA (evite le double comptage) et forment un groupe doctrinal distinct : indicator_group = 'TRAJECTOIRE'.</w:t>
      </w:r>
    </w:p>
    <w:p>
      <w:pPr>
        <w:spacing w:after="80"/>
      </w:pPr>
      <w:r>
        <w:t xml:space="preserve"/>
      </w:r>
    </w:p>
    <w:p>
      <w:pPr>
        <w:pStyle w:val="Heading2"/>
        <w:spacing w:after="120" w:before="240"/>
      </w:pPr>
      <w:r>
        <w:rPr>
          <w:rFonts w:ascii="Arial" w:cs="Arial" w:eastAsia="Arial" w:hAnsi="Arial"/>
          <w:b/>
          <w:bCs/>
          <w:color w:val="2E75B6"/>
          <w:sz w:val="24"/>
          <w:szCs w:val="24"/>
        </w:rPr>
        <w:t xml:space="preserve">2.2 Les quatre indicateurs livres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00"/>
        <w:gridCol w:w="1600"/>
        <w:gridCol w:w="18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 / Methode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PMIN_VALUE_CAPTURE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Option B : score = 1 - |ratio-100|/400, cap 500, 37 valeurs REJECTED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CEPII BACI + USGS</w:t>
            </w:r>
          </w:p>
        </w:tc>
        <w:tc>
          <w:tcPr>
            <w:tcW w:type="dxa" w:w="18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L1→L2→L3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PMIN_VALUE_LEAKAGE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79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exports HS26+27 / (HS26+27+HS71) x100, score=100-ratio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CEPII BACI</w:t>
            </w:r>
          </w:p>
        </w:tc>
        <w:tc>
          <w:tcPr>
            <w:tcW w:type="dxa" w:w="18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L1→L2→L3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PMIN_SMUGGLING_SIGNAL_RANK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Rang export BACI vs rang production USGS — L1 uniquement (P7E : 86.9% imputation refusee)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CEPII BACI + USGS</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L1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PHUM_VALUE_CAPTURE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SH.MED.PHYS.ZS (60%) + SE.TER.ENRR (40%), benchmark = moy. africaine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World Bank WDI</w:t>
            </w:r>
          </w:p>
        </w:tc>
        <w:tc>
          <w:tcPr>
            <w:tcW w:type="dxa" w:w="18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L1→L2→L3</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2.3 Decisions doctrinales</w:t>
      </w:r>
    </w:p>
    <w:p>
      <w:pPr>
        <w:pStyle w:val="ListParagraph"/>
        <w:numPr>
          <w:ilvl w:val="0"/>
          <w:numId w:val="2"/>
        </w:numPr>
        <w:spacing w:after="60"/>
      </w:pPr>
      <w:r>
        <w:rPr>
          <w:rFonts w:ascii="Arial" w:cs="Arial" w:eastAsia="Arial" w:hAnsi="Arial"/>
          <w:sz w:val="22"/>
          <w:szCs w:val="22"/>
        </w:rPr>
        <w:t xml:space="preserve">PMIN_SMUGGLING_SIGNAL_RANK reste L1 uniquement : taux d'imputation 86.9% &gt; seuil MAX_IMPUTATION_RATE=0.50. Inventer des signaux de contrebande violerait P7E.</w:t>
      </w:r>
    </w:p>
    <w:p>
      <w:pPr>
        <w:pStyle w:val="ListParagraph"/>
        <w:numPr>
          <w:ilvl w:val="0"/>
          <w:numId w:val="2"/>
        </w:numPr>
        <w:spacing w:after="60"/>
      </w:pPr>
      <w:r>
        <w:rPr>
          <w:rFonts w:ascii="Arial" w:cs="Arial" w:eastAsia="Arial" w:hAnsi="Arial"/>
          <w:sz w:val="22"/>
          <w:szCs w:val="22"/>
        </w:rPr>
        <w:t xml:space="preserve">PMIN_VALUE_CAPTURE Option B : recentrage |ratio-100|/400 avec cap a 500. 37 valeurs REJECTED transmises au Comite Scientifique pour revue.</w:t>
      </w:r>
    </w:p>
    <w:p>
      <w:pPr>
        <w:pStyle w:val="ListParagraph"/>
        <w:numPr>
          <w:ilvl w:val="0"/>
          <w:numId w:val="2"/>
        </w:numPr>
        <w:spacing w:after="60"/>
      </w:pPr>
      <w:r>
        <w:rPr>
          <w:rFonts w:ascii="Arial" w:cs="Arial" w:eastAsia="Arial" w:hAnsi="Arial"/>
          <w:sz w:val="22"/>
          <w:szCs w:val="22"/>
        </w:rPr>
        <w:t xml:space="preserve">PHUM_VALUE_CAPTURE : benchmark = moyenne africaine. Evite toute hierarchie implicite entre pays.</w:t>
      </w:r>
    </w:p>
    <w:p>
      <w:pPr>
        <w:pStyle w:val="ListParagraph"/>
        <w:numPr>
          <w:ilvl w:val="0"/>
          <w:numId w:val="2"/>
        </w:numPr>
        <w:spacing w:after="60"/>
      </w:pPr>
      <w:r>
        <w:rPr>
          <w:rFonts w:ascii="Arial" w:cs="Arial" w:eastAsia="Arial" w:hAnsi="Arial"/>
          <w:sz w:val="22"/>
          <w:szCs w:val="22"/>
        </w:rPr>
        <w:t xml:space="preserve">Les indicateurs TRAJECTOIRE ne passent pas par l'Imputer ISA et n'alimentent pas pillar_scores.</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3. Publication ISA 2021–2024 sur le portail public</w:t>
      </w:r>
    </w:p>
    <w:p>
      <w:pPr>
        <w:spacing w:after="120"/>
        <w:jc w:val="both"/>
      </w:pPr>
      <w:r>
        <w:rPr>
          <w:rFonts w:ascii="Arial" w:cs="Arial" w:eastAsia="Arial" w:hAnsi="Arial"/>
          <w:b w:val="false"/>
          <w:bCs w:val="false"/>
          <w:i w:val="false"/>
          <w:iCs w:val="false"/>
          <w:color w:val="000000"/>
          <w:sz w:val="22"/>
          <w:szCs w:val="22"/>
        </w:rPr>
        <w:t xml:space="preserve">Le portail open.osa-observatory.africa affiche desormais les scores ISA reels pour les 4 editions disponibles (2021, 2022, 2023, 2024). Chaque edition couvre les 54 etats africains avec leurs scores, positions, trajectoires et niveaux de confiance.</w:t>
      </w:r>
    </w:p>
    <w:p>
      <w:pPr>
        <w:spacing w:after="80"/>
      </w:pPr>
      <w:r>
        <w:t xml:space="preserve"/>
      </w:r>
    </w:p>
    <w:p>
      <w:pPr>
        <w:pStyle w:val="Heading2"/>
        <w:spacing w:after="120" w:before="240"/>
      </w:pPr>
      <w:r>
        <w:rPr>
          <w:rFonts w:ascii="Arial" w:cs="Arial" w:eastAsia="Arial" w:hAnsi="Arial"/>
          <w:b/>
          <w:bCs/>
          <w:color w:val="2E75B6"/>
          <w:sz w:val="24"/>
          <w:szCs w:val="24"/>
        </w:rPr>
        <w:t xml:space="preserve">3.1 Corrections techniques</w:t>
      </w:r>
    </w:p>
    <w:p>
      <w:pPr>
        <w:pStyle w:val="ListParagraph"/>
        <w:numPr>
          <w:ilvl w:val="0"/>
          <w:numId w:val="2"/>
        </w:numPr>
        <w:spacing w:after="60"/>
      </w:pPr>
      <w:r>
        <w:rPr>
          <w:rFonts w:ascii="Arial" w:cs="Arial" w:eastAsia="Arial" w:hAnsi="Arial"/>
          <w:sz w:val="22"/>
          <w:szCs w:val="22"/>
        </w:rPr>
        <w:t xml:space="preserve">loadYearData() : /api/v2/scores?year=YYYY remplace /opendata/countries/latest</w:t>
      </w:r>
    </w:p>
    <w:p>
      <w:pPr>
        <w:pStyle w:val="ListParagraph"/>
        <w:numPr>
          <w:ilvl w:val="0"/>
          <w:numId w:val="2"/>
        </w:numPr>
        <w:spacing w:after="60"/>
      </w:pPr>
      <w:r>
        <w:rPr>
          <w:rFonts w:ascii="Arial" w:cs="Arial" w:eastAsia="Arial" w:hAnsi="Arial"/>
          <w:sz w:val="22"/>
          <w:szCs w:val="22"/>
        </w:rPr>
        <w:t xml:space="preserve">initData() : scores ISA reels charges depuis /api/v2/scores</w:t>
      </w:r>
    </w:p>
    <w:p>
      <w:pPr>
        <w:pStyle w:val="ListParagraph"/>
        <w:numPr>
          <w:ilvl w:val="0"/>
          <w:numId w:val="2"/>
        </w:numPr>
        <w:spacing w:after="60"/>
      </w:pPr>
      <w:r>
        <w:rPr>
          <w:rFonts w:ascii="Arial" w:cs="Arial" w:eastAsia="Arial" w:hAnsi="Arial"/>
          <w:sz w:val="22"/>
          <w:szCs w:val="22"/>
        </w:rPr>
        <w:t xml:space="preserve">renderLiveScores() : affiche isa_observed_score, isa_position, data_confidence</w:t>
      </w:r>
    </w:p>
    <w:p>
      <w:pPr>
        <w:pStyle w:val="ListParagraph"/>
        <w:numPr>
          <w:ilvl w:val="0"/>
          <w:numId w:val="2"/>
        </w:numPr>
        <w:spacing w:after="60"/>
      </w:pPr>
      <w:r>
        <w:rPr>
          <w:rFonts w:ascii="Arial" w:cs="Arial" w:eastAsia="Arial" w:hAnsi="Arial"/>
          <w:sz w:val="22"/>
          <w:szCs w:val="22"/>
        </w:rPr>
        <w:t xml:space="preserve">Suppression prefix OFFICIAL_ sur publication_status</w:t>
      </w:r>
    </w:p>
    <w:p>
      <w:pPr>
        <w:pStyle w:val="ListParagraph"/>
        <w:numPr>
          <w:ilvl w:val="0"/>
          <w:numId w:val="2"/>
        </w:numPr>
        <w:spacing w:after="60"/>
      </w:pPr>
      <w:r>
        <w:rPr>
          <w:rFonts w:ascii="Arial" w:cs="Arial" w:eastAsia="Arial" w:hAnsi="Arial"/>
          <w:sz w:val="22"/>
          <w:szCs w:val="22"/>
        </w:rPr>
        <w:t xml:space="preserve">Selecteur annees 2021–2024 fonctionnel avec donnees reelles par annee</w:t>
      </w:r>
    </w:p>
    <w:p>
      <w:pPr>
        <w:spacing w:after="80"/>
      </w:pPr>
      <w:r>
        <w:t xml:space="preserve"/>
      </w:r>
    </w:p>
    <w:p>
      <w:pPr>
        <w:pStyle w:val="Heading2"/>
        <w:spacing w:after="120" w:before="240"/>
      </w:pPr>
      <w:r>
        <w:rPr>
          <w:rFonts w:ascii="Arial" w:cs="Arial" w:eastAsia="Arial" w:hAnsi="Arial"/>
          <w:b/>
          <w:bCs/>
          <w:color w:val="2E75B6"/>
          <w:sz w:val="24"/>
          <w:szCs w:val="24"/>
        </w:rPr>
        <w:t xml:space="preserve">3.2 Performances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A0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Avant Sprint 21</w:t>
            </w:r>
          </w:p>
        </w:tc>
        <w:tc>
          <w:tcPr>
            <w:tcW w:type="dxa" w:w="2000"/>
            <w:tcBorders>
              <w:top w:val="single" w:color="CCCCCC" w:sz="1"/>
              <w:left w:val="single" w:color="CCCCCC" w:sz="1"/>
              <w:bottom w:val="single" w:color="CCCCCC" w:sz="1"/>
              <w:right w:val="single" w:color="CCCCCC" w:sz="1"/>
            </w:tcBorders>
            <w:shd w:fill="1F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Apres Sprint 21</w:t>
            </w:r>
          </w:p>
        </w:tc>
        <w:tc>
          <w:tcPr>
            <w:tcW w:type="dxa" w:w="2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/opendata/trajectories</w:t>
            </w:r>
          </w:p>
        </w:tc>
        <w:tc>
          <w:tcPr>
            <w:tcW w:type="dxa" w:w="20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504 Timeout (2m37s)</w:t>
            </w:r>
          </w:p>
        </w:tc>
        <w:tc>
          <w:tcPr>
            <w:tcW w:type="dxa" w:w="2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HTTP 200 — 0.026s</w:t>
            </w:r>
          </w:p>
        </w:tc>
        <w:tc>
          <w:tcPr>
            <w:tcW w:type="dxa" w:w="2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x6000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/api/v2/scores?year=2024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4.49ms</w:t>
            </w:r>
          </w:p>
        </w:tc>
        <w:tc>
          <w:tcPr>
            <w:tcW w:type="dxa" w:w="2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1.38ms</w:t>
            </w:r>
          </w:p>
        </w:tc>
        <w:tc>
          <w:tcPr>
            <w:tcW w:type="dxa" w:w="2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x3.3</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3.3 Projets souverains bilingues</w:t>
      </w:r>
    </w:p>
    <w:p>
      <w:pPr>
        <w:spacing w:after="120"/>
        <w:jc w:val="both"/>
      </w:pPr>
      <w:r>
        <w:rPr>
          <w:rFonts w:ascii="Arial" w:cs="Arial" w:eastAsia="Arial" w:hAnsi="Arial"/>
          <w:b w:val="false"/>
          <w:bCs w:val="false"/>
          <w:i w:val="false"/>
          <w:iCs w:val="false"/>
          <w:color w:val="000000"/>
          <w:sz w:val="22"/>
          <w:szCs w:val="22"/>
        </w:rPr>
        <w:t xml:space="preserve">Les 18 projets souverains du catalogue sont desormais disponibles en anglais et en français. L'API /api/v2/sovereign-projects accepte un parametre lang=en|fr (defaut: en). Le portail passe automatiquement la langue active. Migration : db/sovereign_projects_en_translations.sql.</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4. Politique de publication institutionnelle — cycle Y/Y-1</w:t>
      </w:r>
    </w:p>
    <w:p>
      <w:pPr>
        <w:spacing w:after="120"/>
        <w:jc w:val="both"/>
      </w:pPr>
      <w:r>
        <w:rPr>
          <w:rFonts w:ascii="Arial" w:cs="Arial" w:eastAsia="Arial" w:hAnsi="Arial"/>
          <w:b w:val="false"/>
          <w:bCs w:val="false"/>
          <w:i w:val="false"/>
          <w:iCs w:val="false"/>
          <w:color w:val="000000"/>
          <w:sz w:val="22"/>
          <w:szCs w:val="22"/>
        </w:rPr>
        <w:t xml:space="preserve">Le Sprint 21 formalise la politique de publication OSA dans une table de reference rf.publication_policy. Cette table gouverne le cycle institutionnel de publication de l'ISA et les transitions de statut.</w:t>
      </w:r>
    </w:p>
    <w:p>
      <w:pPr>
        <w:spacing w:after="80"/>
      </w:pPr>
      <w:r>
        <w:t xml:space="preserve"/>
      </w:r>
    </w:p>
    <w:p>
      <w:pPr>
        <w:pStyle w:val="Heading2"/>
        <w:spacing w:after="120" w:before="240"/>
      </w:pPr>
      <w:r>
        <w:rPr>
          <w:rFonts w:ascii="Arial" w:cs="Arial" w:eastAsia="Arial" w:hAnsi="Arial"/>
          <w:b/>
          <w:bCs/>
          <w:color w:val="2E75B6"/>
          <w:sz w:val="24"/>
          <w:szCs w:val="24"/>
        </w:rPr>
        <w:t xml:space="preserve">4.1 Cycle de publication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Echeance</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2e semaine avril 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Ouverture de la revue par le Comite Scientifique OSA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3e semaine juillet 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Validation des donnees Y-1 par le Comite Scientifique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7A4A"/>
                <w:sz w:val="20"/>
                <w:szCs w:val="20"/>
              </w:rPr>
              <w:t xml:space="preserve">4e semaine aout Y</w:t>
            </w:r>
          </w:p>
        </w:tc>
        <w:tc>
          <w:tcPr>
            <w:tcW w:type="dxa" w:w="66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Reception du PV de validation — declencheur officiel de transition de statut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2e semaine septembre 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Publication officielle ISA Y-1</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4.2 Statuts de publication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Annees actuelles</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OFFICIAL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2020–2024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Donnees archivees, validees dans la publication inaugurale OSA 2027, periode de contestation close</w:t>
            </w:r>
          </w:p>
        </w:tc>
      </w:tr>
      <w:tr>
        <w:tc>
          <w:tcPr>
            <w:tcW w:type="dxa" w:w="20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PRELIMINARY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2025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Collecte de rodage juin 2026 terminee, soumise au Comite Scientifique avril 2027</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COLLECTING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2026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Collecte en cours 2026–2027 — donnees Y-1 de la publication principale ISA 2027</w:t>
            </w:r>
          </w:p>
        </w:tc>
      </w:tr>
    </w:tbl>
    <w:p>
      <w:pPr>
        <w:spacing w:after="80"/>
      </w:pPr>
      <w:r>
        <w:t xml:space="preserve"/>
      </w:r>
    </w:p>
    <w:p>
      <w:pPr>
        <w:spacing w:after="120"/>
        <w:jc w:val="both"/>
      </w:pPr>
      <w:r>
        <w:rPr>
          <w:rFonts w:ascii="Arial" w:cs="Arial" w:eastAsia="Arial" w:hAnsi="Arial"/>
          <w:b w:val="false"/>
          <w:bCs w:val="false"/>
          <w:i/>
          <w:iCs/>
          <w:color w:val="000000"/>
          <w:sz w:val="22"/>
          <w:szCs w:val="22"/>
        </w:rPr>
        <w:t xml:space="preserve">La fonction rf.register_publication_pv() automatise la transition de statut a reception du PV aout : COLLECTING→PRELIMINARY→CONSOLIDATED. Jamais sur base calendaire seule — le PV fait foi.</w:t>
      </w:r>
    </w:p>
    <w:p>
      <w:pPr>
        <w:spacing w:after="80"/>
      </w:pPr>
      <w:r>
        <w:t xml:space="preserve"/>
      </w:r>
    </w:p>
    <w:p>
      <w:pPr>
        <w:spacing w:after="120"/>
        <w:jc w:val="both"/>
      </w:pPr>
      <w:r>
        <w:rPr>
          <w:rFonts w:ascii="Arial" w:cs="Arial" w:eastAsia="Arial" w:hAnsi="Arial"/>
          <w:b w:val="false"/>
          <w:bCs w:val="false"/>
          <w:i w:val="false"/>
          <w:iCs w:val="false"/>
          <w:color w:val="000000"/>
          <w:sz w:val="22"/>
          <w:szCs w:val="22"/>
        </w:rPr>
        <w:t xml:space="preserve">Premiere publication institutionnelle OSA : septembre 2027. Elle couvrira Y-1=2026 et validera retroactivement l'historique 2020–2025.</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5. Assainissement doctrinal — exclusion WGI</w:t>
      </w:r>
    </w:p>
    <w:p>
      <w:pPr>
        <w:spacing w:after="120"/>
        <w:jc w:val="both"/>
      </w:pPr>
      <w:r>
        <w:rPr>
          <w:rFonts w:ascii="Arial" w:cs="Arial" w:eastAsia="Arial" w:hAnsi="Arial"/>
          <w:b w:val="false"/>
          <w:bCs w:val="false"/>
          <w:i w:val="false"/>
          <w:iCs w:val="false"/>
          <w:color w:val="000000"/>
          <w:sz w:val="22"/>
          <w:szCs w:val="22"/>
        </w:rPr>
        <w:t xml:space="preserve">La doctrine P7E d'OSA Observatory exige une observation comportementale pure : jamais un sondage, jamais une estimation d'expert. Les indicateurs WGI (Worldwide Governance Indicators) de la Banque Mondiale etant des indices de perception, leur exclusion est une consequence directe de cette doctrine.</w:t>
      </w:r>
    </w:p>
    <w:p>
      <w:pPr>
        <w:spacing w:after="80"/>
      </w:pPr>
      <w:r>
        <w:t xml:space="preserve"/>
      </w:r>
    </w:p>
    <w:p>
      <w:pPr>
        <w:pStyle w:val="Heading2"/>
        <w:spacing w:after="120" w:before="240"/>
      </w:pPr>
      <w:r>
        <w:rPr>
          <w:rFonts w:ascii="Arial" w:cs="Arial" w:eastAsia="Arial" w:hAnsi="Arial"/>
          <w:b/>
          <w:bCs/>
          <w:color w:val="2E75B6"/>
          <w:sz w:val="24"/>
          <w:szCs w:val="24"/>
        </w:rPr>
        <w:t xml:space="preserve">5.1 Indicateurs desactives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26"/>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Pilier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WGI</w:t>
            </w:r>
          </w:p>
        </w:tc>
        <w:tc>
          <w:tcPr>
            <w:tcW w:type="dxa" w:w="2826"/>
            <w:tcBorders>
              <w:top w:val="single" w:color="CCCCCC" w:sz="1"/>
              <w:left w:val="single" w:color="CCCCCC" w:sz="1"/>
              <w:bottom w:val="single" w:color="CCCCCC" w:sz="1"/>
              <w:right w:val="single" w:color="CCCCCC" w:sz="1"/>
            </w:tcBorders>
            <w:shd w:fill="1F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Remplacant comportemental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GEO_STAB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PGEO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WGI Political Stability (PV.EST)</w:t>
            </w:r>
          </w:p>
        </w:tc>
        <w:tc>
          <w:tcPr>
            <w:tcW w:type="dxa" w:w="28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GEO_CONF + GEO_TER + PGEO_EVT (UCDP/ACLED)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PGEO_COR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PGEO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WGI Control of Corruption (GE.EST)</w:t>
            </w:r>
          </w:p>
        </w:tc>
        <w:tc>
          <w:tcPr>
            <w:tcW w:type="dxa" w:w="28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GEO_SOVEREIGN_MARGIN + PGEO_INT (WB fiscal)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PMIL_STABILITY_WGI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PMIL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WGI Political Stability (variante militaire)</w:t>
            </w:r>
          </w:p>
        </w:tc>
        <w:tc>
          <w:tcPr>
            <w:tcW w:type="dxa" w:w="28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Deja inactif — confirme</w:t>
            </w:r>
          </w:p>
        </w:tc>
      </w:tr>
    </w:tbl>
    <w:p>
      <w:pPr>
        <w:spacing w:after="80"/>
      </w:pPr>
      <w:r>
        <w:t xml:space="preserve"/>
      </w:r>
    </w:p>
    <w:p>
      <w:pPr>
        <w:spacing w:after="120"/>
        <w:jc w:val="both"/>
      </w:pPr>
      <w:r>
        <w:rPr>
          <w:rFonts w:ascii="Arial" w:cs="Arial" w:eastAsia="Arial" w:hAnsi="Arial"/>
          <w:b w:val="false"/>
          <w:bCs w:val="false"/>
          <w:i w:val="false"/>
          <w:iCs w:val="false"/>
          <w:color w:val="000000"/>
          <w:sz w:val="22"/>
          <w:szCs w:val="22"/>
        </w:rPr>
        <w:t xml:space="preserve">Impact sur l'ISA : nul. Ces indicateurs ne contribuaient pas au calcul (absents de ma.computed_indicators). Les donnees L1/L2/L3 sont conservees en base pour audit historique. Decision documentee : docs/decision_doctrinale_wgi_sprint21.docx.</w:t>
      </w:r>
    </w:p>
    <w:p>
      <w:pPr>
        <w:spacing w:after="80"/>
      </w:pPr>
      <w:r>
        <w:t xml:space="preserve"/>
      </w:r>
    </w:p>
    <w:p>
      <w:pPr>
        <w:spacing w:after="120"/>
        <w:jc w:val="both"/>
      </w:pPr>
      <w:r>
        <w:rPr>
          <w:rFonts w:ascii="Arial" w:cs="Arial" w:eastAsia="Arial" w:hAnsi="Arial"/>
          <w:b w:val="false"/>
          <w:bCs w:val="false"/>
          <w:i w:val="false"/>
          <w:iCs w:val="false"/>
          <w:color w:val="000000"/>
          <w:sz w:val="22"/>
          <w:szCs w:val="22"/>
        </w:rPr>
        <w:t xml:space="preserve">Cette exclusion s'inscrit dans la serie des exclusions doctrinales anterieures : CPI (Sprint 10), Freedom House Index (Sprint 10), Bertelsmann Transformation Index (Sprint 12), WGI (Sprint 21).</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6. Documentation et surveillance operationnelle</w:t>
      </w:r>
    </w:p>
    <w:p>
      <w:pPr>
        <w:pStyle w:val="Heading2"/>
        <w:spacing w:after="120" w:before="240"/>
      </w:pPr>
      <w:r>
        <w:rPr>
          <w:rFonts w:ascii="Arial" w:cs="Arial" w:eastAsia="Arial" w:hAnsi="Arial"/>
          <w:b/>
          <w:bCs/>
          <w:color w:val="2E75B6"/>
          <w:sz w:val="24"/>
          <w:szCs w:val="24"/>
        </w:rPr>
        <w:t xml:space="preserve">6.1 Swagger — 15/15 endpoints OpenData documentes</w:t>
      </w:r>
    </w:p>
    <w:p>
      <w:pPr>
        <w:spacing w:after="120"/>
        <w:jc w:val="both"/>
      </w:pPr>
      <w:r>
        <w:rPr>
          <w:rFonts w:ascii="Arial" w:cs="Arial" w:eastAsia="Arial" w:hAnsi="Arial"/>
          <w:b w:val="false"/>
          <w:bCs w:val="false"/>
          <w:i w:val="false"/>
          <w:iCs w:val="false"/>
          <w:color w:val="000000"/>
          <w:sz w:val="22"/>
          <w:szCs w:val="22"/>
        </w:rPr>
        <w:t xml:space="preserve">Les 15 endpoints du router /opendata sont desormais completement documentes avec descriptions scientifiques, filtres disponibles, mention de la licence CC-BY-NC-4.0 et reference a la doctrine P7E pour les endpoints AMAR et trajectoires.</w:t>
      </w:r>
    </w:p>
    <w:p>
      <w:pPr>
        <w:spacing w:after="80"/>
      </w:pPr>
      <w:r>
        <w:t xml:space="preserve"/>
      </w:r>
    </w:p>
    <w:p>
      <w:pPr>
        <w:pStyle w:val="Heading2"/>
        <w:spacing w:after="120" w:before="240"/>
      </w:pPr>
      <w:r>
        <w:rPr>
          <w:rFonts w:ascii="Arial" w:cs="Arial" w:eastAsia="Arial" w:hAnsi="Arial"/>
          <w:b/>
          <w:bCs/>
          <w:color w:val="2E75B6"/>
          <w:sz w:val="24"/>
          <w:szCs w:val="24"/>
        </w:rPr>
        <w:t xml:space="preserve">6.2 Rapport de sante quotidien</w:t>
      </w:r>
    </w:p>
    <w:p>
      <w:pPr>
        <w:spacing w:after="120"/>
        <w:jc w:val="both"/>
      </w:pPr>
      <w:r>
        <w:rPr>
          <w:rFonts w:ascii="Arial" w:cs="Arial" w:eastAsia="Arial" w:hAnsi="Arial"/>
          <w:b w:val="false"/>
          <w:bCs w:val="false"/>
          <w:i w:val="false"/>
          <w:iCs w:val="false"/>
          <w:color w:val="000000"/>
          <w:sz w:val="22"/>
          <w:szCs w:val="22"/>
        </w:rPr>
        <w:t xml:space="preserve">Un script de sante automatise (scripts/osa_health_report.sh) est execute chaque jour a 06:00 UTC via cron. Il verifie :</w:t>
      </w:r>
    </w:p>
    <w:p>
      <w:pPr>
        <w:pStyle w:val="ListParagraph"/>
        <w:numPr>
          <w:ilvl w:val="0"/>
          <w:numId w:val="2"/>
        </w:numPr>
        <w:spacing w:after="60"/>
      </w:pPr>
      <w:r>
        <w:rPr>
          <w:rFonts w:ascii="Arial" w:cs="Arial" w:eastAsia="Arial" w:hAnsi="Arial"/>
          <w:sz w:val="22"/>
          <w:szCs w:val="22"/>
        </w:rPr>
        <w:t xml:space="preserve">4 containers Docker (osa-api, osa-db, osa-prometheus, osa-grafana)</w:t>
      </w:r>
    </w:p>
    <w:p>
      <w:pPr>
        <w:pStyle w:val="ListParagraph"/>
        <w:numPr>
          <w:ilvl w:val="0"/>
          <w:numId w:val="2"/>
        </w:numPr>
        <w:spacing w:after="60"/>
      </w:pPr>
      <w:r>
        <w:rPr>
          <w:rFonts w:ascii="Arial" w:cs="Arial" w:eastAsia="Arial" w:hAnsi="Arial"/>
          <w:sz w:val="22"/>
          <w:szCs w:val="22"/>
        </w:rPr>
        <w:t xml:space="preserve">API health endpoint</w:t>
      </w:r>
    </w:p>
    <w:p>
      <w:pPr>
        <w:pStyle w:val="ListParagraph"/>
        <w:numPr>
          <w:ilvl w:val="0"/>
          <w:numId w:val="2"/>
        </w:numPr>
        <w:spacing w:after="60"/>
      </w:pPr>
      <w:r>
        <w:rPr>
          <w:rFonts w:ascii="Arial" w:cs="Arial" w:eastAsia="Arial" w:hAnsi="Arial"/>
          <w:sz w:val="22"/>
          <w:szCs w:val="22"/>
        </w:rPr>
        <w:t xml:space="preserve">998 675 valeurs L3 en base</w:t>
      </w:r>
    </w:p>
    <w:p>
      <w:pPr>
        <w:pStyle w:val="ListParagraph"/>
        <w:numPr>
          <w:ilvl w:val="0"/>
          <w:numId w:val="2"/>
        </w:numPr>
        <w:spacing w:after="60"/>
      </w:pPr>
      <w:r>
        <w:rPr>
          <w:rFonts w:ascii="Arial" w:cs="Arial" w:eastAsia="Arial" w:hAnsi="Arial"/>
          <w:sz w:val="22"/>
          <w:szCs w:val="22"/>
        </w:rPr>
        <w:t xml:space="preserve">4 indicateurs TRAJECTOIRE presents</w:t>
      </w:r>
    </w:p>
    <w:p>
      <w:pPr>
        <w:pStyle w:val="ListParagraph"/>
        <w:numPr>
          <w:ilvl w:val="0"/>
          <w:numId w:val="2"/>
        </w:numPr>
        <w:spacing w:after="60"/>
      </w:pPr>
      <w:r>
        <w:rPr>
          <w:rFonts w:ascii="Arial" w:cs="Arial" w:eastAsia="Arial" w:hAnsi="Arial"/>
          <w:sz w:val="22"/>
          <w:szCs w:val="22"/>
        </w:rPr>
        <w:t xml:space="preserve">7 annees de politique de publication</w:t>
      </w:r>
    </w:p>
    <w:p>
      <w:pPr>
        <w:pStyle w:val="ListParagraph"/>
        <w:numPr>
          <w:ilvl w:val="0"/>
          <w:numId w:val="2"/>
        </w:numPr>
        <w:spacing w:after="60"/>
      </w:pPr>
      <w:r>
        <w:rPr>
          <w:rFonts w:ascii="Arial" w:cs="Arial" w:eastAsia="Arial" w:hAnsi="Arial"/>
          <w:sz w:val="22"/>
          <w:szCs w:val="22"/>
        </w:rPr>
        <w:t xml:space="preserve">6 endpoints critiques avec temps de reponse</w:t>
      </w:r>
    </w:p>
    <w:p>
      <w:pPr>
        <w:pStyle w:val="ListParagraph"/>
        <w:numPr>
          <w:ilvl w:val="0"/>
          <w:numId w:val="2"/>
        </w:numPr>
        <w:spacing w:after="60"/>
      </w:pPr>
      <w:r>
        <w:rPr>
          <w:rFonts w:ascii="Arial" w:cs="Arial" w:eastAsia="Arial" w:hAnsi="Arial"/>
          <w:sz w:val="22"/>
          <w:szCs w:val="22"/>
        </w:rPr>
        <w:t xml:space="preserve">Espace disque et memoire disponible</w:t>
      </w:r>
    </w:p>
    <w:p>
      <w:pPr>
        <w:pStyle w:val="ListParagraph"/>
        <w:numPr>
          <w:ilvl w:val="0"/>
          <w:numId w:val="2"/>
        </w:numPr>
        <w:spacing w:after="60"/>
      </w:pPr>
      <w:r>
        <w:rPr>
          <w:rFonts w:ascii="Arial" w:cs="Arial" w:eastAsia="Arial" w:hAnsi="Arial"/>
          <w:sz w:val="22"/>
          <w:szCs w:val="22"/>
        </w:rPr>
        <w:t xml:space="preserve">Alerte email contact@osa-observatory.africa si statut DEGRADED</w:t>
      </w:r>
    </w:p>
    <w:p>
      <w:pPr>
        <w:spacing w:after="120"/>
        <w:jc w:val="both"/>
      </w:pPr>
      <w:r>
        <w:rPr>
          <w:rFonts w:ascii="Arial" w:cs="Arial" w:eastAsia="Arial" w:hAnsi="Arial"/>
          <w:b w:val="false"/>
          <w:bCs w:val="false"/>
          <w:i/>
          <w:iCs/>
          <w:color w:val="000000"/>
          <w:sz w:val="22"/>
          <w:szCs w:val="22"/>
        </w:rPr>
        <w:t xml:space="preserve">Retention des logs : 30 jours dans /mnt/data/logs/health/health_YYYYMMDD.log.</w:t>
      </w:r>
    </w:p>
    <w:p>
      <w:pPr>
        <w:spacing w:after="80"/>
      </w:pPr>
      <w:r>
        <w:t xml:space="preserve"/>
      </w:r>
    </w:p>
    <w:p>
      <w:pPr>
        <w:pStyle w:val="Heading2"/>
        <w:spacing w:after="120" w:before="240"/>
      </w:pPr>
      <w:r>
        <w:rPr>
          <w:rFonts w:ascii="Arial" w:cs="Arial" w:eastAsia="Arial" w:hAnsi="Arial"/>
          <w:b/>
          <w:bCs/>
          <w:color w:val="2E75B6"/>
          <w:sz w:val="24"/>
          <w:szCs w:val="24"/>
        </w:rPr>
        <w:t xml:space="preserve">6.3 Dashboard Grafana</w:t>
      </w:r>
    </w:p>
    <w:p>
      <w:pPr>
        <w:spacing w:after="120"/>
        <w:jc w:val="both"/>
      </w:pPr>
      <w:r>
        <w:rPr>
          <w:rFonts w:ascii="Arial" w:cs="Arial" w:eastAsia="Arial" w:hAnsi="Arial"/>
          <w:b w:val="false"/>
          <w:bCs w:val="false"/>
          <w:i w:val="false"/>
          <w:iCs w:val="false"/>
          <w:color w:val="000000"/>
          <w:sz w:val="22"/>
          <w:szCs w:val="22"/>
        </w:rPr>
        <w:t xml:space="preserve">Un dashboard de production OSA Observatory est operationnel dans Grafana 13.0.1 (http://127.0.0.1:3000). Il comprend 8 panels alimentes par Prometheus via le serveur de metriques interne (port 9091) :</w:t>
      </w:r>
    </w:p>
    <w:p>
      <w:pPr>
        <w:pStyle w:val="ListParagraph"/>
        <w:numPr>
          <w:ilvl w:val="0"/>
          <w:numId w:val="2"/>
        </w:numPr>
        <w:spacing w:after="60"/>
      </w:pPr>
      <w:r>
        <w:rPr>
          <w:rFonts w:ascii="Arial" w:cs="Arial" w:eastAsia="Arial" w:hAnsi="Arial"/>
          <w:sz w:val="22"/>
          <w:szCs w:val="22"/>
        </w:rPr>
        <w:t xml:space="preserve">Requetes totales, erreurs totales, auth failures, latence mediane (stats)</w:t>
      </w:r>
    </w:p>
    <w:p>
      <w:pPr>
        <w:pStyle w:val="ListParagraph"/>
        <w:numPr>
          <w:ilvl w:val="0"/>
          <w:numId w:val="2"/>
        </w:numPr>
        <w:spacing w:after="60"/>
      </w:pPr>
      <w:r>
        <w:rPr>
          <w:rFonts w:ascii="Arial" w:cs="Arial" w:eastAsia="Arial" w:hAnsi="Arial"/>
          <w:sz w:val="22"/>
          <w:szCs w:val="22"/>
        </w:rPr>
        <w:t xml:space="preserve">Requetes par endpoint (timeseries)</w:t>
      </w:r>
    </w:p>
    <w:p>
      <w:pPr>
        <w:pStyle w:val="ListParagraph"/>
        <w:numPr>
          <w:ilvl w:val="0"/>
          <w:numId w:val="2"/>
        </w:numPr>
        <w:spacing w:after="60"/>
      </w:pPr>
      <w:r>
        <w:rPr>
          <w:rFonts w:ascii="Arial" w:cs="Arial" w:eastAsia="Arial" w:hAnsi="Arial"/>
          <w:sz w:val="22"/>
          <w:szCs w:val="22"/>
        </w:rPr>
        <w:t xml:space="preserve">Latence P50/P95/P99 en ms (timeseries)</w:t>
      </w:r>
    </w:p>
    <w:p>
      <w:pPr>
        <w:pStyle w:val="ListParagraph"/>
        <w:numPr>
          <w:ilvl w:val="0"/>
          <w:numId w:val="2"/>
        </w:numPr>
        <w:spacing w:after="60"/>
      </w:pPr>
      <w:r>
        <w:rPr>
          <w:rFonts w:ascii="Arial" w:cs="Arial" w:eastAsia="Arial" w:hAnsi="Arial"/>
          <w:sz w:val="22"/>
          <w:szCs w:val="22"/>
        </w:rPr>
        <w:t xml:space="preserve">Erreurs par endpoint (timeseries)</w:t>
      </w:r>
    </w:p>
    <w:p>
      <w:pPr>
        <w:pStyle w:val="ListParagraph"/>
        <w:numPr>
          <w:ilvl w:val="0"/>
          <w:numId w:val="2"/>
        </w:numPr>
        <w:spacing w:after="60"/>
      </w:pPr>
      <w:r>
        <w:rPr>
          <w:rFonts w:ascii="Arial" w:cs="Arial" w:eastAsia="Arial" w:hAnsi="Arial"/>
          <w:sz w:val="22"/>
          <w:szCs w:val="22"/>
        </w:rPr>
        <w:t xml:space="preserve">Requetes par code HTTP (timeseries)</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7. Etat de l'infrastructure au terme du Sprint 21</w:t>
      </w:r>
    </w:p>
    <w:p>
      <w:pPr>
        <w:pStyle w:val="Heading2"/>
        <w:spacing w:after="120" w:before="240"/>
      </w:pPr>
      <w:r>
        <w:rPr>
          <w:rFonts w:ascii="Arial" w:cs="Arial" w:eastAsia="Arial" w:hAnsi="Arial"/>
          <w:b/>
          <w:bCs/>
          <w:color w:val="2E75B6"/>
          <w:sz w:val="24"/>
          <w:szCs w:val="24"/>
        </w:rPr>
        <w:t xml:space="preserve">7.1 VPS et containers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Image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2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osa-api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FastAPI v2.0.0-production</w:t>
            </w:r>
          </w:p>
        </w:tc>
        <w:tc>
          <w:tcPr>
            <w:tcW w:type="dxa" w:w="24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 / healthy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127.0.0.1:8000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osa-db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PostgreSQL 17</w:t>
            </w:r>
          </w:p>
        </w:tc>
        <w:tc>
          <w:tcPr>
            <w:tcW w:type="dxa" w:w="24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 / healthy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5432 (interne)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osa-prometheus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Prometheus</w:t>
            </w:r>
          </w:p>
        </w:tc>
        <w:tc>
          <w:tcPr>
            <w:tcW w:type="dxa" w:w="24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 / healthy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127.0.0.1:9090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osa-grafana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Grafana 13.0.1</w:t>
            </w:r>
          </w:p>
        </w:tc>
        <w:tc>
          <w:tcPr>
            <w:tcW w:type="dxa" w:w="24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127.0.0.1:3000</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7.2 URLs de production</w:t>
      </w:r>
    </w:p>
    <w:p>
      <w:pPr>
        <w:pStyle w:val="ListParagraph"/>
        <w:numPr>
          <w:ilvl w:val="0"/>
          <w:numId w:val="2"/>
        </w:numPr>
        <w:spacing w:after="60"/>
      </w:pPr>
      <w:r>
        <w:rPr>
          <w:rFonts w:ascii="Arial" w:cs="Arial" w:eastAsia="Arial" w:hAnsi="Arial"/>
          <w:sz w:val="22"/>
          <w:szCs w:val="22"/>
        </w:rPr>
        <w:t xml:space="preserve">Portail public : https://open.osa-observatory.africa</w:t>
      </w:r>
    </w:p>
    <w:p>
      <w:pPr>
        <w:pStyle w:val="ListParagraph"/>
        <w:numPr>
          <w:ilvl w:val="0"/>
          <w:numId w:val="2"/>
        </w:numPr>
        <w:spacing w:after="60"/>
      </w:pPr>
      <w:r>
        <w:rPr>
          <w:rFonts w:ascii="Arial" w:cs="Arial" w:eastAsia="Arial" w:hAnsi="Arial"/>
          <w:sz w:val="22"/>
          <w:szCs w:val="22"/>
        </w:rPr>
        <w:t xml:space="preserve">API : https://api.osa-observatory.africa (v2.0.0-production)</w:t>
      </w:r>
    </w:p>
    <w:p>
      <w:pPr>
        <w:pStyle w:val="ListParagraph"/>
        <w:numPr>
          <w:ilvl w:val="0"/>
          <w:numId w:val="2"/>
        </w:numPr>
        <w:spacing w:after="60"/>
      </w:pPr>
      <w:r>
        <w:rPr>
          <w:rFonts w:ascii="Arial" w:cs="Arial" w:eastAsia="Arial" w:hAnsi="Arial"/>
          <w:sz w:val="22"/>
          <w:szCs w:val="22"/>
        </w:rPr>
        <w:t xml:space="preserve">Documentation API : https://api.osa-observatory.africa/docs</w:t>
      </w:r>
    </w:p>
    <w:p>
      <w:pPr>
        <w:pStyle w:val="ListParagraph"/>
        <w:numPr>
          <w:ilvl w:val="0"/>
          <w:numId w:val="2"/>
        </w:numPr>
        <w:spacing w:after="60"/>
      </w:pPr>
      <w:r>
        <w:rPr>
          <w:rFonts w:ascii="Arial" w:cs="Arial" w:eastAsia="Arial" w:hAnsi="Arial"/>
          <w:sz w:val="22"/>
          <w:szCs w:val="22"/>
        </w:rPr>
        <w:t xml:space="preserve">Contact : contact@osa-observatory.africa</w:t>
      </w:r>
    </w:p>
    <w:p>
      <w:pPr>
        <w:pStyle w:val="ListParagraph"/>
        <w:numPr>
          <w:ilvl w:val="0"/>
          <w:numId w:val="2"/>
        </w:numPr>
        <w:spacing w:after="60"/>
      </w:pPr>
      <w:r>
        <w:rPr>
          <w:rFonts w:ascii="Arial" w:cs="Arial" w:eastAsia="Arial" w:hAnsi="Arial"/>
          <w:sz w:val="22"/>
          <w:szCs w:val="22"/>
        </w:rPr>
        <w:t xml:space="preserve">Repo : github.com/Bath4856/osa-observatory · HEAD : 9c1ff6f</w:t>
      </w:r>
    </w:p>
    <w:p>
      <w:pPr>
        <w:spacing w:after="80"/>
      </w:pPr>
      <w:r>
        <w:t xml:space="preserve"/>
      </w:r>
    </w:p>
    <w:p>
      <w:pPr>
        <w:pStyle w:val="Heading2"/>
        <w:spacing w:after="120" w:before="240"/>
      </w:pPr>
      <w:r>
        <w:rPr>
          <w:rFonts w:ascii="Arial" w:cs="Arial" w:eastAsia="Arial" w:hAnsi="Arial"/>
          <w:b/>
          <w:bCs/>
          <w:color w:val="2E75B6"/>
          <w:sz w:val="24"/>
          <w:szCs w:val="24"/>
        </w:rPr>
        <w:t xml:space="preserve">7.3 Crons actifs</w:t>
      </w:r>
    </w:p>
    <w:p>
      <w:pPr>
        <w:pStyle w:val="ListParagraph"/>
        <w:numPr>
          <w:ilvl w:val="0"/>
          <w:numId w:val="2"/>
        </w:numPr>
        <w:spacing w:after="60"/>
      </w:pPr>
      <w:r>
        <w:rPr>
          <w:rFonts w:ascii="Arial" w:cs="Arial" w:eastAsia="Arial" w:hAnsi="Arial"/>
          <w:sz w:val="22"/>
          <w:szCs w:val="22"/>
        </w:rPr>
        <w:t xml:space="preserve">02:00 UTC — backup rClone vers Swiss Backup Infomaniak</w:t>
      </w:r>
    </w:p>
    <w:p>
      <w:pPr>
        <w:pStyle w:val="ListParagraph"/>
        <w:numPr>
          <w:ilvl w:val="0"/>
          <w:numId w:val="2"/>
        </w:numPr>
        <w:spacing w:after="60"/>
      </w:pPr>
      <w:r>
        <w:rPr>
          <w:rFonts w:ascii="Arial" w:cs="Arial" w:eastAsia="Arial" w:hAnsi="Arial"/>
          <w:sz w:val="22"/>
          <w:szCs w:val="22"/>
        </w:rPr>
        <w:t xml:space="preserve">06:00 UTC — rapport de sante quotidien OSA</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8. Commits Sprint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Commit</w:t>
            </w:r>
          </w:p>
        </w:tc>
        <w:tc>
          <w:tcPr>
            <w:tcW w:type="dxa" w:w="7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57faa75</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 fetchers TRAJECTOIRE + imputer_v3.py deployes sur VPS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5db51c9</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Pipeline L1→L2→L3 indicateurs TRAJECTOIRE complet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1711a10</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Docs archives Sprint 4 a Sprint 21 — commit complet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382c3e0</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Portail : scores ISA reels 2021–2024 via /api/v2/scores?year=YYYY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22ff037</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pub.mv_trajectories materialisee + Nginx timeout — gain x6000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f62eae2</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rf.publication_policy + cycle Y/Y-1 + fix metrics_server guard 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cd24409</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Swagger : 15/15 endpoints OpenData documentes avec descriptions scientifiques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553c758</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Rapport sante quotidien + cron 06:00 UTC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a4aa581</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Projets souverains bilingues EN/FR — 18 projets traduits — param lang=en|fr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9c1ff6f</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Decision doctrinale WGI — exclusion GEO_STAB, PGEO_COR, PMIL_STABILITY_WGI</w:t>
            </w:r>
          </w:p>
        </w:tc>
      </w:tr>
    </w:tbl>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9. Horizon Sprint 22</w:t>
      </w:r>
    </w:p>
    <w:p>
      <w:pPr>
        <w:spacing w:after="120"/>
        <w:jc w:val="both"/>
      </w:pPr>
      <w:r>
        <w:rPr>
          <w:rFonts w:ascii="Arial" w:cs="Arial" w:eastAsia="Arial" w:hAnsi="Arial"/>
          <w:b w:val="false"/>
          <w:bCs w:val="false"/>
          <w:i w:val="false"/>
          <w:iCs w:val="false"/>
          <w:color w:val="000000"/>
          <w:sz w:val="22"/>
          <w:szCs w:val="22"/>
        </w:rPr>
        <w:t xml:space="preserve">Les priorites identifiees a l'issue du Sprint 21 pour le Sprint 22 sont :</w:t>
      </w:r>
    </w:p>
    <w:p>
      <w:pPr>
        <w:spacing w:after="80"/>
      </w:pPr>
      <w:r>
        <w:t xml:space="preserve"/>
      </w:r>
    </w:p>
    <w:p>
      <w:pPr>
        <w:pStyle w:val="Heading2"/>
        <w:spacing w:after="120" w:before="240"/>
      </w:pPr>
      <w:r>
        <w:rPr>
          <w:rFonts w:ascii="Arial" w:cs="Arial" w:eastAsia="Arial" w:hAnsi="Arial"/>
          <w:b/>
          <w:bCs/>
          <w:color w:val="2E75B6"/>
          <w:sz w:val="24"/>
          <w:szCs w:val="24"/>
        </w:rPr>
        <w:t xml:space="preserve">9.1 TRAJECTOIRE — expansion aux autres piliers</w:t>
      </w:r>
    </w:p>
    <w:p>
      <w:pPr>
        <w:spacing w:after="120"/>
        <w:jc w:val="both"/>
      </w:pPr>
      <w:r>
        <w:rPr>
          <w:rFonts w:ascii="Arial" w:cs="Arial" w:eastAsia="Arial" w:hAnsi="Arial"/>
          <w:b w:val="false"/>
          <w:bCs w:val="false"/>
          <w:i w:val="false"/>
          <w:iCs w:val="false"/>
          <w:color w:val="000000"/>
          <w:sz w:val="22"/>
          <w:szCs w:val="22"/>
        </w:rPr>
        <w:t xml:space="preserve">L'analyse transversale des 10 piliers ISA confirme que chaque pilier possede des actifs physiques dont la captation ou la fuite peut etre mesuree comportementalement. Les piliers prioritaires pour Sprint 22 :</w:t>
      </w:r>
    </w:p>
    <w:p>
      <w:pPr>
        <w:pStyle w:val="ListParagraph"/>
        <w:numPr>
          <w:ilvl w:val="0"/>
          <w:numId w:val="2"/>
        </w:numPr>
        <w:spacing w:after="60"/>
      </w:pPr>
      <w:r>
        <w:rPr>
          <w:rFonts w:ascii="Arial" w:cs="Arial" w:eastAsia="Arial" w:hAnsi="Arial"/>
          <w:sz w:val="22"/>
          <w:szCs w:val="22"/>
        </w:rPr>
        <w:t xml:space="preserve">PECO : PECO_VALUE_CAPTURE (PIB national / PIB potentiel, erosion base fiscale BEPS)</w:t>
      </w:r>
    </w:p>
    <w:p>
      <w:pPr>
        <w:pStyle w:val="ListParagraph"/>
        <w:numPr>
          <w:ilvl w:val="0"/>
          <w:numId w:val="2"/>
        </w:numPr>
        <w:spacing w:after="60"/>
      </w:pPr>
      <w:r>
        <w:rPr>
          <w:rFonts w:ascii="Arial" w:cs="Arial" w:eastAsia="Arial" w:hAnsi="Arial"/>
          <w:sz w:val="22"/>
          <w:szCs w:val="22"/>
        </w:rPr>
        <w:t xml:space="preserve">PENV : PENV_ASSET_LEAKAGE (deforestation exportee via produits agricoles)</w:t>
      </w:r>
    </w:p>
    <w:p>
      <w:pPr>
        <w:pStyle w:val="ListParagraph"/>
        <w:numPr>
          <w:ilvl w:val="0"/>
          <w:numId w:val="2"/>
        </w:numPr>
        <w:spacing w:after="60"/>
      </w:pPr>
      <w:r>
        <w:rPr>
          <w:rFonts w:ascii="Arial" w:cs="Arial" w:eastAsia="Arial" w:hAnsi="Arial"/>
          <w:sz w:val="22"/>
          <w:szCs w:val="22"/>
        </w:rPr>
        <w:t xml:space="preserve">PNUM : PNUM_DATA_LEAKAGE (flux donnees sortants vers GAFAM)</w:t>
      </w:r>
    </w:p>
    <w:p>
      <w:pPr>
        <w:pStyle w:val="ListParagraph"/>
        <w:numPr>
          <w:ilvl w:val="0"/>
          <w:numId w:val="2"/>
        </w:numPr>
        <w:spacing w:after="60"/>
      </w:pPr>
      <w:r>
        <w:rPr>
          <w:rFonts w:ascii="Arial" w:cs="Arial" w:eastAsia="Arial" w:hAnsi="Arial"/>
          <w:sz w:val="22"/>
          <w:szCs w:val="22"/>
        </w:rPr>
        <w:t xml:space="preserve">PMON : PMON_RESERVE_CAPTURE (reserves nationales vs reserves externalisees)</w:t>
      </w:r>
    </w:p>
    <w:p>
      <w:pPr>
        <w:spacing w:after="80"/>
      </w:pPr>
      <w:r>
        <w:t xml:space="preserve"/>
      </w:r>
    </w:p>
    <w:p>
      <w:pPr>
        <w:pStyle w:val="Heading2"/>
        <w:spacing w:after="120" w:before="240"/>
      </w:pPr>
      <w:r>
        <w:rPr>
          <w:rFonts w:ascii="Arial" w:cs="Arial" w:eastAsia="Arial" w:hAnsi="Arial"/>
          <w:b/>
          <w:bCs/>
          <w:color w:val="2E75B6"/>
          <w:sz w:val="24"/>
          <w:szCs w:val="24"/>
        </w:rPr>
        <w:t xml:space="preserve">9.2 Collecte donnees 2025</w:t>
      </w:r>
    </w:p>
    <w:p>
      <w:pPr>
        <w:pStyle w:val="ListParagraph"/>
        <w:numPr>
          <w:ilvl w:val="0"/>
          <w:numId w:val="2"/>
        </w:numPr>
        <w:spacing w:after="60"/>
      </w:pPr>
      <w:r>
        <w:rPr>
          <w:rFonts w:ascii="Arial" w:cs="Arial" w:eastAsia="Arial" w:hAnsi="Arial"/>
          <w:sz w:val="22"/>
          <w:szCs w:val="22"/>
        </w:rPr>
        <w:t xml:space="preserve">World Bank WDI — mise a jour annuelle</w:t>
      </w:r>
    </w:p>
    <w:p>
      <w:pPr>
        <w:pStyle w:val="ListParagraph"/>
        <w:numPr>
          <w:ilvl w:val="0"/>
          <w:numId w:val="2"/>
        </w:numPr>
        <w:spacing w:after="60"/>
      </w:pPr>
      <w:r>
        <w:rPr>
          <w:rFonts w:ascii="Arial" w:cs="Arial" w:eastAsia="Arial" w:hAnsi="Arial"/>
          <w:sz w:val="22"/>
          <w:szCs w:val="22"/>
        </w:rPr>
        <w:t xml:space="preserve">IMF WEO — edition avril 2027</w:t>
      </w:r>
    </w:p>
    <w:p>
      <w:pPr>
        <w:pStyle w:val="ListParagraph"/>
        <w:numPr>
          <w:ilvl w:val="0"/>
          <w:numId w:val="2"/>
        </w:numPr>
        <w:spacing w:after="60"/>
      </w:pPr>
      <w:r>
        <w:rPr>
          <w:rFonts w:ascii="Arial" w:cs="Arial" w:eastAsia="Arial" w:hAnsi="Arial"/>
          <w:sz w:val="22"/>
          <w:szCs w:val="22"/>
        </w:rPr>
        <w:t xml:space="preserve">FAO — donnees agricoles et alimentaires</w:t>
      </w:r>
    </w:p>
    <w:p>
      <w:pPr>
        <w:pStyle w:val="ListParagraph"/>
        <w:numPr>
          <w:ilvl w:val="0"/>
          <w:numId w:val="2"/>
        </w:numPr>
        <w:spacing w:after="60"/>
      </w:pPr>
      <w:r>
        <w:rPr>
          <w:rFonts w:ascii="Arial" w:cs="Arial" w:eastAsia="Arial" w:hAnsi="Arial"/>
          <w:sz w:val="22"/>
          <w:szCs w:val="22"/>
        </w:rPr>
        <w:t xml:space="preserve">ACLED — evenements conflictuels 2025</w:t>
      </w:r>
    </w:p>
    <w:p>
      <w:pPr>
        <w:pStyle w:val="ListParagraph"/>
        <w:numPr>
          <w:ilvl w:val="0"/>
          <w:numId w:val="2"/>
        </w:numPr>
        <w:spacing w:after="60"/>
      </w:pPr>
      <w:r>
        <w:rPr>
          <w:rFonts w:ascii="Arial" w:cs="Arial" w:eastAsia="Arial" w:hAnsi="Arial"/>
          <w:sz w:val="22"/>
          <w:szCs w:val="22"/>
        </w:rPr>
        <w:t xml:space="preserve">SIPRI — depenses militaires 2025</w:t>
      </w:r>
    </w:p>
    <w:p>
      <w:pPr>
        <w:spacing w:after="80"/>
      </w:pPr>
      <w:r>
        <w:t xml:space="preserve"/>
      </w:r>
    </w:p>
    <w:p>
      <w:pPr>
        <w:pStyle w:val="Heading2"/>
        <w:spacing w:after="120" w:before="240"/>
      </w:pPr>
      <w:r>
        <w:rPr>
          <w:rFonts w:ascii="Arial" w:cs="Arial" w:eastAsia="Arial" w:hAnsi="Arial"/>
          <w:b/>
          <w:bCs/>
          <w:color w:val="2E75B6"/>
          <w:sz w:val="24"/>
          <w:szCs w:val="24"/>
        </w:rPr>
        <w:t xml:space="preserve">9.3 Items techniques</w:t>
      </w:r>
    </w:p>
    <w:p>
      <w:pPr>
        <w:pStyle w:val="ListParagraph"/>
        <w:numPr>
          <w:ilvl w:val="0"/>
          <w:numId w:val="2"/>
        </w:numPr>
        <w:spacing w:after="60"/>
      </w:pPr>
      <w:r>
        <w:rPr>
          <w:rFonts w:ascii="Arial" w:cs="Arial" w:eastAsia="Arial" w:hAnsi="Arial"/>
          <w:sz w:val="22"/>
          <w:szCs w:val="22"/>
        </w:rPr>
        <w:t xml:space="preserve">Classification indicator_group pour les 208 indicateurs a NULL</w:t>
      </w:r>
    </w:p>
    <w:p>
      <w:pPr>
        <w:pStyle w:val="ListParagraph"/>
        <w:numPr>
          <w:ilvl w:val="0"/>
          <w:numId w:val="2"/>
        </w:numPr>
        <w:spacing w:after="60"/>
      </w:pPr>
      <w:r>
        <w:rPr>
          <w:rFonts w:ascii="Arial" w:cs="Arial" w:eastAsia="Arial" w:hAnsi="Arial"/>
          <w:sz w:val="22"/>
          <w:szCs w:val="22"/>
        </w:rPr>
        <w:t xml:space="preserve">Traduction project_family_label EN/FR</w:t>
      </w:r>
    </w:p>
    <w:p>
      <w:pPr>
        <w:pStyle w:val="ListParagraph"/>
        <w:numPr>
          <w:ilvl w:val="0"/>
          <w:numId w:val="2"/>
        </w:numPr>
        <w:spacing w:after="60"/>
      </w:pPr>
      <w:r>
        <w:rPr>
          <w:rFonts w:ascii="Arial" w:cs="Arial" w:eastAsia="Arial" w:hAnsi="Arial"/>
          <w:sz w:val="22"/>
          <w:szCs w:val="22"/>
        </w:rPr>
        <w:t xml:space="preserve">Connexion portail a rf.publication_policy pour affichage statut reel par annee</w:t>
      </w:r>
    </w:p>
    <w:p>
      <w:pPr>
        <w:pStyle w:val="ListParagraph"/>
        <w:numPr>
          <w:ilvl w:val="0"/>
          <w:numId w:val="2"/>
        </w:numPr>
        <w:spacing w:after="60"/>
      </w:pPr>
      <w:r>
        <w:rPr>
          <w:rFonts w:ascii="Arial" w:cs="Arial" w:eastAsia="Arial" w:hAnsi="Arial"/>
          <w:sz w:val="22"/>
          <w:szCs w:val="22"/>
        </w:rPr>
        <w:t xml:space="preserve">PMIN_SMUGGLING_SIGNAL_VALUE Option B cardinal avec prix LME</w:t>
      </w:r>
    </w:p>
    <w:p>
      <w:pPr>
        <w:spacing w:after="80"/>
      </w:pPr>
      <w:r>
        <w:t xml:space="preserve"/>
      </w:r>
    </w:p>
    <w:p>
      <w:pPr>
        <w:pStyle w:val="Heading2"/>
        <w:spacing w:after="120" w:before="240"/>
      </w:pPr>
      <w:r>
        <w:rPr>
          <w:rFonts w:ascii="Arial" w:cs="Arial" w:eastAsia="Arial" w:hAnsi="Arial"/>
          <w:b/>
          <w:bCs/>
          <w:color w:val="2E75B6"/>
          <w:sz w:val="24"/>
          <w:szCs w:val="24"/>
        </w:rPr>
        <w:t xml:space="preserve">9.4 Gouvernance</w:t>
      </w:r>
    </w:p>
    <w:p>
      <w:pPr>
        <w:pStyle w:val="ListParagraph"/>
        <w:numPr>
          <w:ilvl w:val="0"/>
          <w:numId w:val="2"/>
        </w:numPr>
        <w:spacing w:after="60"/>
      </w:pPr>
      <w:r>
        <w:rPr>
          <w:rFonts w:ascii="Arial" w:cs="Arial" w:eastAsia="Arial" w:hAnsi="Arial"/>
          <w:sz w:val="22"/>
          <w:szCs w:val="22"/>
        </w:rPr>
        <w:t xml:space="preserve">Grille tarifaire differenciee pour rf.affiliations (5 segments)</w:t>
      </w:r>
    </w:p>
    <w:p>
      <w:pPr>
        <w:pStyle w:val="ListParagraph"/>
        <w:numPr>
          <w:ilvl w:val="0"/>
          <w:numId w:val="2"/>
        </w:numPr>
        <w:spacing w:after="60"/>
      </w:pPr>
      <w:r>
        <w:rPr>
          <w:rFonts w:ascii="Arial" w:cs="Arial" w:eastAsia="Arial" w:hAnsi="Arial"/>
          <w:sz w:val="22"/>
          <w:szCs w:val="22"/>
        </w:rPr>
        <w:t xml:space="preserve">Certification blockchain extractive PMIN — etude de faisabilite</w:t>
      </w:r>
    </w:p>
    <w:p>
      <w:pPr>
        <w:pStyle w:val="ListParagraph"/>
        <w:numPr>
          <w:ilvl w:val="0"/>
          <w:numId w:val="2"/>
        </w:numPr>
        <w:spacing w:after="60"/>
      </w:pPr>
      <w:r>
        <w:rPr>
          <w:rFonts w:ascii="Arial" w:cs="Arial" w:eastAsia="Arial" w:hAnsi="Arial"/>
          <w:sz w:val="22"/>
          <w:szCs w:val="22"/>
        </w:rPr>
        <w:t xml:space="preserve">Preparation Comite Scientifique — ordre du jour avril 2027</w:t>
      </w:r>
    </w:p>
    <w:p>
      <w:pPr>
        <w:spacing w:after="80"/>
      </w:pPr>
      <w:r>
        <w:t xml:space="preserve"/>
      </w:r>
    </w:p>
    <w:p>
      <w:r>
        <w:br w:type="page"/>
      </w:r>
    </w:p>
    <w:p>
      <w:pPr>
        <w:spacing w:after="400"/>
      </w:pPr>
      <w:r>
        <w:t xml:space="preserve"/>
      </w:r>
    </w:p>
    <w:p>
      <w:pPr>
        <w:pBdr>
          <w:top w:val="single" w:color="C8A84B" w:sz="4"/>
        </w:pBdr>
        <w:spacing w:after="120" w:before="240"/>
        <w:jc w:val="center"/>
      </w:pPr>
      <w:r>
        <w:rPr>
          <w:rFonts w:ascii="Arial" w:cs="Arial" w:eastAsia="Arial" w:hAnsi="Arial"/>
          <w:b/>
          <w:bCs/>
          <w:color w:val="1B3A6B"/>
          <w:sz w:val="22"/>
          <w:szCs w:val="22"/>
        </w:rPr>
        <w:t xml:space="preserve">OSA Observatory — Observatoire de la Souverainete Africaine</w:t>
      </w:r>
    </w:p>
    <w:p>
      <w:pPr>
        <w:spacing w:after="120"/>
        <w:jc w:val="center"/>
      </w:pPr>
      <w:r>
        <w:rPr>
          <w:rFonts w:ascii="Arial" w:cs="Arial" w:eastAsia="Arial" w:hAnsi="Arial"/>
          <w:i/>
          <w:iCs/>
          <w:color w:val="595959"/>
          <w:sz w:val="20"/>
          <w:szCs w:val="20"/>
        </w:rPr>
        <w:t xml:space="preserve">Doctrine consequentialiste · Faits comportementaux · Jamais des perceptions</w:t>
      </w:r>
    </w:p>
    <w:p>
      <w:pPr>
        <w:spacing w:after="120"/>
        <w:jc w:val="center"/>
      </w:pPr>
      <w:r>
        <w:rPr>
          <w:rFonts w:ascii="Arial" w:cs="Arial" w:eastAsia="Arial" w:hAnsi="Arial"/>
          <w:color w:val="2E75B6"/>
          <w:sz w:val="20"/>
          <w:szCs w:val="20"/>
        </w:rPr>
        <w:t xml:space="preserve">open.osa-observatory.africa  ·  contact@osa-observatory.africa</w:t>
      </w:r>
    </w:p>
    <w:p>
      <w:pPr>
        <w:jc w:val="center"/>
      </w:pPr>
      <w:r>
        <w:rPr>
          <w:rFonts w:ascii="Arial" w:cs="Arial" w:eastAsia="Arial" w:hAnsi="Arial"/>
          <w:color w:val="595959"/>
          <w:sz w:val="20"/>
          <w:szCs w:val="20"/>
        </w:rPr>
        <w:t xml:space="preserve">Rapport Sprint 21 — 11 juin 2026 — Theophile Bakang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2026-06-11T21:10:25.505Z</dcterms:created>
  <dcterms:modified xsi:type="dcterms:W3CDTF">2026-06-11T21:10:25.506Z</dcterms:modified>
</cp:coreProperties>
</file>

<file path=docProps/custom.xml><?xml version="1.0" encoding="utf-8"?>
<Properties xmlns="http://schemas.openxmlformats.org/officeDocument/2006/custom-properties" xmlns:vt="http://schemas.openxmlformats.org/officeDocument/2006/docPropsVTypes"/>
</file>