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OSA OBSERVATORY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Observatoire de la Souveraineté Africaine</w:t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ANALYSE 5W1H &amp; MATRICE ZACHMAN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Cadre de publication ISA historique 2021–2024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50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</w:t>
            </w:r>
          </w:p>
        </w:tc>
        <w:tc>
          <w:tcPr>
            <w:tcW w:type="dxa" w:w="9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Décision de publication de l’ISA historique — années 2021à 2024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Fondement</w:t>
            </w:r>
          </w:p>
        </w:tc>
        <w:tc>
          <w:tcPr>
            <w:tcW w:type="dxa" w:w="9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Rapport de couverture des données OSA — 10/10 piliers ≥ 85% fiabilité — 31 mai 2026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9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 pays africains × 10 piliers × 228 indicateurs × 2021–2024 (2010–2020 en consultation sur demande)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9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PUBLIABLE — sans réserve scientifique majeure — CC-BY-NC-4.0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Analyse 5W1H — Publication ISA historique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cadre 5W1H structure la décision de publication selon six dimensions : objet, finalité, parties prenantes, calendrier, plateformes et modalités d’accès.</w:t>
      </w:r>
    </w:p>
    <w:p>
      <w:pPr>
        <w:spacing w:after="80" w:before="8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0"/>
        <w:gridCol w:w="5200"/>
        <w:gridCol w:w="494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OSA</w:t>
            </w:r>
          </w:p>
        </w:tc>
        <w:tc>
          <w:tcPr>
            <w:tcW w:type="dxa" w:w="4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Implications opérationnelles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Quoi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Qu’est-ce qui est publié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Indice de Souveraineté Africaine (ISA) 2021–2024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54 pays africains × 10 piliers × 228 indicateurs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Scores composites ISA + scores par pilier + trajectoires souveraines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Couche 0 (open data) + couches analytiques (accès institutionnel)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Signaux d’alerte précoce AMAR + GENECO composite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Documentation méthodologique annexe (COMPUTED, IMPUTED, seuils)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Préparer 3 livrables distincts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Jeu de données ouvertes (Couche 0, CC-BY-NC-4.0)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Rapport analytique exécutif (ISA 2024 focus)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Documentation méthodologique complète (annexe technique)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WHY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Pourquoi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Quelle est la finalité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Établir la crédibilité par la profondeur historique (2010–2024 disponibles)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Positionner OSA comme référence souveraine africaine avant tout concurrent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Initier les relations partenariales institutionnelles avant ISA 2025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Valider la méthodologie ISA sur des données rétrospectives vérifiables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Générer des retours d’usage réels avant calibrage tarifaire (post-lancement)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Stratégie de lancement en 2 temps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21 : accès pilote 2–3 partenaires institutionnels sélectionnés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Post-ISA 2025 : ouverture publique avec données courantes + historique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WHO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Pour qui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Qui sont les destinataires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Priorité 1 — Institutionnels africains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Union Africaine, Commissions Économiques Régionales (CEDEAO, SADC, UMA, CEEAC, IGAD), BAD, Banque mondiale Afrique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7A6E"/>
                <w:sz w:val="18"/>
                <w:szCs w:val="18"/>
              </w:rPr>
              <w:t xml:space="preserve">Priorité 2 — Ministères nationaux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Planification, Finances, Affaires étrangères — pays membres UA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Priorité 3 — Académique &amp; recherche 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Think tanks africains, universités, centres de recherche en gouvernance et développement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Accès différencié par profil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: /opendata (sans auth) — scores, trajectoires, méthodologie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: /api/v2/scores, /countries (JWT)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 : /predictive, /early-warning (JWT + affiliation)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EXPERT : /metrics, accès complet (JWT + niveau expert)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6E"/>
                <w:sz w:val="24"/>
                <w:szCs w:val="24"/>
              </w:rPr>
              <w:t xml:space="preserve">WHEN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Quand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Quel calendrier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ISA 2021–2022 : publiable immédiatement — couverture 95%+ sur tous les piliers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 2023 : publiable avec note méthodologique sur PENV (89.5%)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 2024 : publiable avec mention PMIN (86.7%) et PENV (85.0%)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Sprint 20 (août 2026) : collecte 2025 + runbook + tests de charge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Sprint 21 (sep. 2026) : lancement pilote institutionnel avec ISA 2025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Prioritisation par qualité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: ISA 2021–2022 en vitrine (meilleure couverture)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: ISA 2023–2024 avec transparence méthodologique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: ISA 2025 dès Sprint 21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7F"/>
                <w:sz w:val="24"/>
                <w:szCs w:val="24"/>
              </w:rPr>
              <w:t xml:space="preserve">WHERE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Où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 quelles plateformes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API REST : api.osa-observatory.africa (en ligne, HTTPS, 2 workers uvicorn)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Portail : open.osa-observatory.org (Sprint 20 — à créer)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Documentation : /docs (Swagger/OpenAPI 3.1) et /redoc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Infrastructure : VPS Infomaniak — Plan-les-Ouates, Suisse — souveraineté numérique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Sauvegarde : Swiss Backup Infomaniak + GitHub Bath4856/osa-observatory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Prérequis Sprint 20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Créer open.osa-observatory.org (page d’accueil minimaliste)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de charge (seuil utilisateurs simultanés inconnu)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Runbook exploitation : redémarrage, restauration, rotation certificats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HOW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Comment ?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Quelles modalités ?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Accès ouvert : /opendata sans authentification — CC-BY-NC-4.0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Accès institutionnel : demande d’accreditation via open.osa-observatory.org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Licence CC-BY-NC-4.0 : utilisation libre non commerciale avec attribution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Transparence : rapport de couverture publié en annexe de chaque millésime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Traçabilité : chaque score consultable avec statut OBSERVED/COMPUTED/IMPUTED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Principe doctrinal OSA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Aucune donnée non vérifiable publiée (EITI exclu maintenu)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classement compétitif entre États souverains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Positions de référence, pas de palmarès — isa_position, non isa_rank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Matrice Zachman — Architecture de publication ISA historique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matrice Zachman positionne la décision de publication selon deux dimensions : les perspectives (lignes — qui regarde le système) et les abstractions (colonnes — sous quel angle). Elle garantit la cohérence entre la vision stratégique, l’architecture fonctionnelle et les détails techniques d’implémentation.</w:t>
      </w:r>
    </w:p>
    <w:p>
      <w:pPr>
        <w:spacing w:after="80" w:before="80"/>
      </w:pPr>
      <w:r>
        <w:t xml:space="preserve"/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50"/>
        <w:gridCol w:w="2250"/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Zachman OSA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Fonctions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Acteurs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Calendrier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Motivation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Vision strat.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ISA 2021–2024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 pays × 10 piliers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228 indicateurs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85–97% fiabilité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Publier la souveraineté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africaine mesurée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Positionner OSA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référence continentale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VPS Infomaniak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Plan-les-Ouates (CH)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Souveraineté numérique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Données en Suisse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Partenaires UA/CER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Ministères nationaux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Chercheurs africains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Presse spécialisée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21 : pilote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Sep.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ISA 2025 : Sprint 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Lancement ouvert 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Crédibilité historique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Antériorité analytique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Référence avant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tout concurrent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Modèle 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Scores ISA par pays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Positions régionales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Trajectoires piliers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Alertes AMAR/GENECO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Accès différencié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PUBLIC / STANDARD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/ EXPERT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Demande accréditation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api.osa-observatory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.africa (en ligne)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open.osa-observatory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.org (Sprint 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Niveau PUBLIC 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sans auth /opendata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Niveaux sup. : JWT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accréditation OSA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1 : 2021–2022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2 : 2023–2024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3 : 2025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20–21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CC-BY-NC-4.0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Usage libre non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commercial avec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attribution OSA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Architecture syst.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ma.indicator_values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OBSERVED/COMPUTED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IMPUTED/MISSING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pub.mv_* vues mat.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L1→L2→L3→ma.*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→pub.* → 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FastAPI 2 workers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Prometheus/Grafana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 4 containers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osa-db/api/prom/graf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Nginx reverse proxy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 Let's Encrypt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rf.indicators (228)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rf.countries (54)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JWT auth Sprint 17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Rate limiter 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Refresh MV après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chaque intégration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 quotidien 2h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Swiss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pct_fiable ≥ 85%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seuil publiabilité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EITI exclu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traçabilité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INGÉN.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Conception détaillée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value_status 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 valeurs valides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confidence_score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0.0–1.0 par 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/opendata/* public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/api/v2/scores JWT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/early-warning JWT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301 /rankings→/scores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Port 8000 (API)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Port 9091 (metrics)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Port 5432 (DB int.)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Port 3000 (Grafana)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PUBLIC: 100 req/h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STANDARD: 500 req/h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PREMIUM: 2000 req/h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EXPERT: illimité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scrape_interval 30s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Alerte p95 &gt; 500ms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Alerte erreurs &gt; 1%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UptimeRobot 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39163 val. COMPUTED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indicateurs OSA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confidence 0.850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commit 791b33e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Implémentation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PostgreSQL 17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Partitionné par année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2010–2030 pré-alloué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Backups pg_dump -Fc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Python 3.12/FastAPI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uvicorn 2 workers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SQLAlchemy 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 CONFLICT DO NOTHING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VPS 4vCPU/12Go RAM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20Go OS + 246Go data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Ubuntu 26.04 LTS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 Engine 29.5.2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api/routers/*.py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api/middleware/*.py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api/metrics_server.py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api/security.py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systemd restart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unless-stopped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Certbot auto-renew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27/08/2026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19 : 4 commits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77ea025/1c6f79b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cdf075b/791b33e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GitHub Bath4856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OPÉRAT.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Fonct. réel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54×228×15 ans en prod.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810 lignes AMAR MV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270 lignes rankings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pct_fiable 85–97%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/health &lt; 10ms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/scores 54 pays 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/composite 200 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(504 résolu Sprint 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api.osa-observatory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.africa en ligne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4/4 containers 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SSL valide 27/08/26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UptimeRobot actif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Grafana 2 alertes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Prometheus 4 séries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 17Mo/0.9s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19 clos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20 : août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21 : sep.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Lancement pilote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ISA 2021–2024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PUBLIABLE ✅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10/10 piliers ≥ 85%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conf. 0.708–0.908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Lecture de la matrice : chaque cellule répond à la question de sa colonne (WHAT/HOW/WHERE/WHO/WHEN/WHY) du point de vue de sa ligne (Executive → Opérationnel). La cohérence entre toutes les cellules garantit l’intégrité de l’architecture de publication. La cellule Opérationnel×WHY (bas droite) est la validation finale : ISA 2021–2024 PUBLIABLE.</w:t>
      </w:r>
    </w:p>
    <w:p>
      <w:pPr>
        <w:spacing w:after="80" w:before="80"/>
      </w:pPr>
      <w:r>
        <w:t xml:space="preserve"/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</w:tblGrid>
      <w:tr>
        <w:tc>
          <w:tcPr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✅ DÉCISION : ISA 2021–2024 PUBLIABLE — sans réserve scientifique majeure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5W1H validé : objet défini • finalité établie • destinataires identifiés • calendrier phasé • plateformes opérationnelles • modalités doctrinales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Zachman cohérent : vision stratégique • modèle métier • architecture • ingénierie • technique • opérationnel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Prérequis restants : portail open.osa-observatory.org (Sprint 20) • runbook exploitation (Sprint 20) • tests de charge (Sprint 20)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OSA Observatory — Observatoire de la Souveraineté Africaine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open.osa-observatory.org — CC-BY-NC-4.0 — 31 mai 2026</w:t>
      </w:r>
    </w:p>
    <w:sectPr>
      <w:headerReference w:type="default" r:id="rId7"/>
      <w:footerReference w:type="default" r:id="rId8"/>
      <w:pgSz w:w="16838" w:h="11906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OSA Observatory — Document institutionnel — CC-BY-NC-4.0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OSA Observatory — Analyse 5W1H &amp; Matrice Zachman</w:t>
    </w:r>
    <w:r>
      <w:rPr>
        <w:rFonts w:ascii="Arial" w:cs="Arial" w:eastAsia="Arial" w:hAnsi="Arial"/>
        <w:color w:val="888888"/>
        <w:sz w:val="16"/>
        <w:szCs w:val="16"/>
      </w:rPr>
      <w:t xml:space="preserve">	Publication ISA Historique 2021–2024 — 31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2026-05-31T21:53:19.664Z</dcterms:created>
  <dcterms:modified xsi:type="dcterms:W3CDTF">2026-05-31T21:53:19.676Z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