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OSA OBSERVATORY</w:t>
      </w:r>
    </w:p>
    <w:p>
      <w:pPr>
        <w:spacing w:after="60" w:before="0"/>
        <w:jc w:val="center"/>
      </w:pPr>
      <w:r>
        <w:rPr>
          <w:rFonts w:ascii="Arial" w:cs="Arial" w:eastAsia="Arial" w:hAnsi="Arial"/>
          <w:color w:val="555555"/>
          <w:sz w:val="24"/>
          <w:szCs w:val="24"/>
        </w:rPr>
        <w:t xml:space="preserve">Observatoire de la Souveraineté Africaine</w:t>
      </w:r>
    </w:p>
    <w:p>
      <w:pPr>
        <w:spacing w:after="80" w:before="80"/>
      </w:pPr>
      <w:r>
        <w:t xml:space="preserve"/>
      </w:r>
    </w:p>
    <w:p>
      <w:pPr>
        <w:spacing w:after="120" w:before="240"/>
        <w:jc w:val="center"/>
      </w:pPr>
      <w:r>
        <w:rPr>
          <w:rFonts w:ascii="Arial" w:cs="Arial" w:eastAsia="Arial" w:hAnsi="Arial"/>
          <w:b/>
          <w:bCs/>
          <w:color w:val="2E75B6"/>
          <w:sz w:val="44"/>
          <w:szCs w:val="44"/>
        </w:rPr>
        <w:t xml:space="preserve">RAPPORT DE COUVERTURE DES DONNÉES</w:t>
      </w:r>
    </w:p>
    <w:p>
      <w:pPr>
        <w:spacing w:after="480" w:before="0"/>
        <w:jc w:val="center"/>
      </w:pPr>
      <w:r>
        <w:rPr>
          <w:rFonts w:ascii="Arial" w:cs="Arial" w:eastAsia="Arial" w:hAnsi="Arial"/>
          <w:color w:val="C55A11"/>
          <w:sz w:val="28"/>
          <w:szCs w:val="28"/>
        </w:rPr>
        <w:t xml:space="preserve">Fondement scientifique de la décision de publication ISA 2021–2024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mai 2026</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institutionnel — Décision de publication</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Périmètre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 pays africains × 10 piliers × 228 indicateurs × 2021–2024</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de données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VPS Infomaniak — PostgreSQL 17 — Production en ligne</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Référence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19 — Diagnostic ma.indicator_values_quality</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PUBLIABLE — 10/10 piliers au-dessus du seuil institutionnel</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1. Contexte et objectif</w:t>
      </w:r>
    </w:p>
    <w:p>
      <w:pPr>
        <w:spacing w:after="60" w:before="60"/>
        <w:jc w:val="left"/>
      </w:pPr>
      <w:r>
        <w:rPr>
          <w:rFonts w:ascii="Arial" w:cs="Arial" w:eastAsia="Arial" w:hAnsi="Arial"/>
          <w:b w:val="false"/>
          <w:bCs w:val="false"/>
          <w:color w:val="000000"/>
          <w:sz w:val="20"/>
          <w:szCs w:val="20"/>
        </w:rPr>
        <w:t xml:space="preserve">Ce rapport établit le fondement scientifique de la décision de publication de l’Indice de Souveraineté Africaine (ISA) pour les millésimes 2021 à 2024. Il répond à la question : la couverture des données est-elle suffisante pour publier l’ISA avec crédibilité institutionnelle ?</w:t>
      </w:r>
    </w:p>
    <w:p>
      <w:pPr>
        <w:spacing w:after="80" w:before="80"/>
      </w:pPr>
      <w:r>
        <w:t xml:space="preserve"/>
      </w:r>
    </w:p>
    <w:p>
      <w:pPr>
        <w:spacing w:after="60" w:before="60"/>
        <w:jc w:val="left"/>
      </w:pPr>
      <w:r>
        <w:rPr>
          <w:rFonts w:ascii="Arial" w:cs="Arial" w:eastAsia="Arial" w:hAnsi="Arial"/>
          <w:b w:val="false"/>
          <w:bCs w:val="false"/>
          <w:color w:val="000000"/>
          <w:sz w:val="20"/>
          <w:szCs w:val="20"/>
        </w:rPr>
        <w:t xml:space="preserve">Le diagnostic a été conduit directement depuis la base de production (VPS Infomaniak, PostgreSQL 17) le 31 mai 2026. Il a également conduit à une décision doctrinale sur la taxonomie des statuts de valeurs, documentée en section 3.</w:t>
      </w:r>
    </w:p>
    <w:p>
      <w:pPr>
        <w:spacing w:after="80" w:before="80"/>
      </w:pPr>
      <w:r>
        <w:t xml:space="preserve"/>
      </w:r>
    </w:p>
    <w:p>
      <w:pPr>
        <w:pBdr>
          <w:left w:val="single" w:color="2E75B6" w:sz="12" w:space="4"/>
        </w:pBdr>
        <w:shd w:fill="D6E4F0" w:val="clear"/>
        <w:spacing w:after="120" w:before="120"/>
        <w:ind w:left="360" w:right="360"/>
      </w:pPr>
      <w:r>
        <w:rPr>
          <w:rFonts w:ascii="Arial" w:cs="Arial" w:eastAsia="Arial" w:hAnsi="Arial"/>
          <w:color w:val="333333"/>
          <w:sz w:val="20"/>
          <w:szCs w:val="20"/>
        </w:rPr>
        <w:t xml:space="preserve">Seuil institutionnel de référence : 70% de données fiables (OBSERVED + COMPUTED) par pilier et par année. Ce seuil est aligné avec les standards des indices composites internationaux comparables : Indice Ibrahim (Mo Ibrahim Foundation), Indice de Développement Humain (UNDP), Doing Business (Banque mondiale).</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2. Taxonomie des statuts de valeurs — État initial</w:t>
      </w:r>
    </w:p>
    <w:p>
      <w:pPr>
        <w:spacing w:after="60" w:before="60"/>
        <w:jc w:val="left"/>
      </w:pPr>
      <w:r>
        <w:rPr>
          <w:rFonts w:ascii="Arial" w:cs="Arial" w:eastAsia="Arial" w:hAnsi="Arial"/>
          <w:b w:val="false"/>
          <w:bCs w:val="false"/>
          <w:color w:val="000000"/>
          <w:sz w:val="20"/>
          <w:szCs w:val="20"/>
        </w:rPr>
        <w:t xml:space="preserve">La table ma.indicator_values stocke chaque valeur avec un statut qualifiant sa nature et sa fiabilité. La taxonomie initiale, définie lors de la mise en place de l’infrastructure de données, comportait cinq statuts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w:t>
            </w:r>
          </w:p>
        </w:tc>
        <w:tc>
          <w:tcPr>
            <w:tcW w:type="dxa" w:w="5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OBSERVED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Donnée réelle collectée depuis une source externe vérifiable (WB, IMF, FAO, SIPRI, ACLED...)</w:t>
            </w:r>
          </w:p>
        </w:tc>
      </w:tr>
      <w:tr>
        <w:tc>
          <w:tcPr>
            <w:tcW w:type="dxa" w:w="234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1F7A6E"/>
                <w:sz w:val="20"/>
                <w:szCs w:val="20"/>
              </w:rPr>
              <w:t xml:space="preserve">INTERPOLATED</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0.800</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Interpolation linéaire entre deux valeurs observées — année manquante entre deux observations</w:t>
            </w:r>
          </w:p>
        </w:tc>
      </w:tr>
      <w:tr>
        <w:tc>
          <w:tcPr>
            <w:tcW w:type="dxa" w:w="23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EXTRAPOLATED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0.400–0.600</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Projection au-delà de la dernière valeur observée — court terme (&lt;2 ans) ou long terme (≥2 ans)</w:t>
            </w:r>
          </w:p>
        </w:tc>
      </w:tr>
      <w:tr>
        <w:tc>
          <w:tcPr>
            <w:tcW w:type="dxa" w:w="23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IMPUTED</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0.400–0.700</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Estimation par le Graphe de Connaissances Africain (GCA) — donnée manquante estimée par le modèle</w:t>
            </w:r>
          </w:p>
        </w:tc>
      </w:tr>
      <w:tr>
        <w:tc>
          <w:tcPr>
            <w:tcW w:type="dxa" w:w="234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left"/>
            </w:pPr>
            <w:r>
              <w:rPr>
                <w:rFonts w:ascii="Arial" w:cs="Arial" w:eastAsia="Arial" w:hAnsi="Arial"/>
                <w:b/>
                <w:bCs/>
                <w:color w:val="AA0000"/>
                <w:sz w:val="20"/>
                <w:szCs w:val="20"/>
              </w:rPr>
              <w:t xml:space="preserve">MISSING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Absence documentée — aucune estimation possible — donnée inexistante pour ce pays/année</w:t>
            </w:r>
          </w:p>
        </w:tc>
      </w:tr>
    </w:tbl>
    <w:p>
      <w:pPr>
        <w:spacing w:after="80" w:before="80"/>
      </w:pPr>
      <w:r>
        <w:t xml:space="preserve"/>
      </w:r>
    </w:p>
    <w:p>
      <w:pPr>
        <w:pBdr>
          <w:left w:val="single" w:color="C55A11" w:sz="12" w:space="4"/>
        </w:pBdr>
        <w:shd w:fill="FCE4D6" w:val="clear"/>
        <w:spacing w:after="120" w:before="120"/>
        <w:ind w:left="360" w:right="360"/>
      </w:pPr>
      <w:r>
        <w:rPr>
          <w:rFonts w:ascii="Arial" w:cs="Arial" w:eastAsia="Arial" w:hAnsi="Arial"/>
          <w:color w:val="333333"/>
          <w:sz w:val="20"/>
          <w:szCs w:val="20"/>
        </w:rPr>
        <w:t xml:space="preserve">Lacune identifiée lors du diagnostic : la taxonomie initiale ne distinguait pas les indicateurs synthétiques construits par OSA des estimations de données manquantes. Trois indicateurs étaient classés IMPUTED alors qu’ils sont construits par calcul délibéré depuis des données observées. Cette confusion pénalisait artificiellement la couverture affichée de PECO et PGEO.</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3. Décision doctrinale — Création du statut COMPUTED</w:t>
      </w:r>
    </w:p>
    <w:p>
      <w:pPr>
        <w:pStyle w:val="Heading2"/>
        <w:spacing w:after="80" w:before="240"/>
      </w:pPr>
      <w:r>
        <w:rPr>
          <w:rFonts w:ascii="Arial" w:cs="Arial" w:eastAsia="Arial" w:hAnsi="Arial"/>
          <w:b/>
          <w:bCs/>
          <w:color w:val="2E75B6"/>
          <w:sz w:val="28"/>
          <w:szCs w:val="28"/>
        </w:rPr>
        <w:t xml:space="preserve">3.1 Les trois indicateurs concernés</w:t>
      </w:r>
    </w:p>
    <w:p>
      <w:pPr>
        <w:spacing w:after="60" w:before="60"/>
        <w:jc w:val="left"/>
      </w:pPr>
      <w:r>
        <w:rPr>
          <w:rFonts w:ascii="Arial" w:cs="Arial" w:eastAsia="Arial" w:hAnsi="Arial"/>
          <w:b w:val="false"/>
          <w:bCs w:val="false"/>
          <w:color w:val="000000"/>
          <w:sz w:val="20"/>
          <w:szCs w:val="20"/>
        </w:rPr>
        <w:t xml:space="preserve">Le diagnostic a identifié trois indicateurs dont le statut IMPUTED était inexact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3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Nature réelle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ECO_PUBLIC_LEAKAGE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Capacité de mobilisation fiscale — écart de performance budgétaire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Indicateur synthetique calculé par OSA depuis ECO_TAX et ECO_PUBLIC_REV (observés à 88-97%)</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ECO_TAX_EFFICIENCY</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Efficacité de mobilisation fiscale (recettes fiscales / recettes totales)</w:t>
            </w:r>
          </w:p>
        </w:tc>
        <w:tc>
          <w:tcPr>
            <w:tcW w:type="dxa" w:w="3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Indicateur synthetique calculé par OSA depuis ECO_TAX et ECO_PUBLIC_REV</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GEO_SOVEREIGN_MARGIN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Marge de souveraineté fiscale mobilisable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Dérivé direct de ECO_PUBLIC_LEAKAGE : GEO_SOVEREIGN_MARGIN = 1 − ECO_PUBLIC_LEAKAGE norm.</w:t>
            </w:r>
          </w:p>
        </w:tc>
      </w:tr>
    </w:tbl>
    <w:p>
      <w:pPr>
        <w:spacing w:after="80" w:before="80"/>
      </w:pPr>
      <w:r>
        <w:t xml:space="preserve"/>
      </w:r>
    </w:p>
    <w:p>
      <w:pPr>
        <w:spacing w:after="60" w:before="60"/>
        <w:jc w:val="left"/>
      </w:pPr>
      <w:r>
        <w:rPr>
          <w:rFonts w:ascii="Arial" w:cs="Arial" w:eastAsia="Arial" w:hAnsi="Arial"/>
          <w:b w:val="false"/>
          <w:bCs w:val="false"/>
          <w:color w:val="000000"/>
          <w:sz w:val="20"/>
          <w:szCs w:val="20"/>
        </w:rPr>
        <w:t xml:space="preserve">Ces trois indicateurs n’ont pas de source externe — ils sont des constructions méthodologiques délibérées d’OSA, basées sur des données observées. Les appeler IMPUTED était scientifiquement inexact et trompeur pour un lecteur institutionnel.</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3.2 Distinction fondamentale IMPUTED vs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900"/>
            <w:gridSpan w:val="1"/>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IMPUTED</w:t>
            </w:r>
          </w:p>
        </w:tc>
        <w:tc>
          <w:tcPr>
            <w:tcW w:type="dxa" w:w="3900"/>
            <w:gridSpan w:val="1"/>
            <w:tcBorders>
              <w:top w:val="single" w:color="CCCCCC" w:sz="1"/>
              <w:left w:val="single" w:color="CCCCCC" w:sz="1"/>
              <w:bottom w:val="single" w:color="CCCCCC" w:sz="1"/>
              <w:right w:val="single" w:color="CCCCCC" w:sz="1"/>
            </w:tcBorders>
            <w:shd w:fill="1F7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COMPUTED</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Définition</w:t>
            </w:r>
          </w:p>
        </w:tc>
        <w:tc>
          <w:tcPr>
            <w:tcW w:type="dxa" w:w="39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Estimation d’une donnée manquante par le modèle GCA</w:t>
            </w:r>
          </w:p>
        </w:tc>
        <w:tc>
          <w:tcPr>
            <w:tcW w:type="dxa" w:w="390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Indicateur synthetique construit par OSA depuis des données observées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Origine</w:t>
            </w:r>
          </w:p>
        </w:tc>
        <w:tc>
          <w:tcPr>
            <w:tcW w:type="dxa" w:w="39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donnée n’existe pas — on l’estime</w:t>
            </w:r>
          </w:p>
        </w:tc>
        <w:tc>
          <w:tcPr>
            <w:tcW w:type="dxa" w:w="390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donnée est construite délibérément — décision méthodologique</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Confiance</w:t>
            </w:r>
          </w:p>
        </w:tc>
        <w:tc>
          <w:tcPr>
            <w:tcW w:type="dxa" w:w="39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0.400 — incertitude sur la valeur estimée</w:t>
            </w:r>
          </w:p>
        </w:tc>
        <w:tc>
          <w:tcPr>
            <w:tcW w:type="dxa" w:w="390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0.850 — haut car basé sur observations, mais construit OSA</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Analogie</w:t>
            </w:r>
          </w:p>
        </w:tc>
        <w:tc>
          <w:tcPr>
            <w:tcW w:type="dxa" w:w="39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Remplissage d’un trou dans les données</w:t>
            </w:r>
          </w:p>
        </w:tc>
        <w:tc>
          <w:tcPr>
            <w:tcW w:type="dxa" w:w="390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 de l’IDH à partir de données observées — construction délibérée</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Comptage</w:t>
            </w:r>
          </w:p>
        </w:tc>
        <w:tc>
          <w:tcPr>
            <w:tcW w:type="dxa" w:w="39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 du pct_fiable — incertitude élevée</w:t>
            </w:r>
          </w:p>
        </w:tc>
        <w:tc>
          <w:tcPr>
            <w:tcW w:type="dxa" w:w="390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Inclus dans pct_fiable — méthodologie transparente et documentée</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3.3 Application et impact</w:t>
      </w:r>
    </w:p>
    <w:p>
      <w:pPr>
        <w:spacing w:after="60" w:before="60"/>
        <w:jc w:val="left"/>
      </w:pPr>
      <w:r>
        <w:rPr>
          <w:rFonts w:ascii="Arial" w:cs="Arial" w:eastAsia="Arial" w:hAnsi="Arial"/>
          <w:b w:val="false"/>
          <w:bCs w:val="false"/>
          <w:color w:val="000000"/>
          <w:sz w:val="20"/>
          <w:szCs w:val="20"/>
        </w:rPr>
        <w:t xml:space="preserve">Le patch a été appliqué en production le 31 mai 2026 (commit 791b33e)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Résultat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Ajout de COMPUTED dans la contrainte chk_value_status</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22 tables (table mère + 21 partitions 2010–2030)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Requalification des 3 indicateurs synthetiques</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39 163 valeurs IMPUTED → COMPUTED, confidence 0.400 → 0.850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Mise à jour vue ma.indicator_values_quality</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Ajout colonne computed + colonne pct_fiable</w:t>
            </w:r>
          </w:p>
        </w:tc>
      </w:tr>
    </w:tbl>
    <w:p>
      <w:pPr>
        <w:spacing w:after="80" w:before="80"/>
      </w:pPr>
      <w:r>
        <w:t xml:space="preserve"/>
      </w:r>
    </w:p>
    <w:p>
      <w:pPr>
        <w:pBdr>
          <w:left w:val="single" w:color="375623" w:sz="12" w:space="4"/>
        </w:pBdr>
        <w:shd w:fill="E2EFDA" w:val="clear"/>
        <w:spacing w:after="120" w:before="120"/>
        <w:ind w:left="360" w:right="360"/>
      </w:pPr>
      <w:r>
        <w:rPr>
          <w:rFonts w:ascii="Arial" w:cs="Arial" w:eastAsia="Arial" w:hAnsi="Arial"/>
          <w:color w:val="333333"/>
          <w:sz w:val="20"/>
          <w:szCs w:val="20"/>
        </w:rPr>
        <w:t xml:space="preserve">[DÉCISION DOCTRINALE OSA] Le statut COMPUTED qualifie tout indicateur dont la valeur est construite par OSA à partir de données observées, selon une méthodologie documentée et reproductible. COMPUTED est inclus dans pct_fiable. IMPUTED est réservé aux estimations de données manquantes par le Graphe de Connaissances Africain.</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4. Rapport de couverture — 10 piliers × 4 années</w:t>
      </w:r>
    </w:p>
    <w:p>
      <w:pPr>
        <w:pStyle w:val="Heading2"/>
        <w:spacing w:after="80" w:before="240"/>
      </w:pPr>
      <w:r>
        <w:rPr>
          <w:rFonts w:ascii="Arial" w:cs="Arial" w:eastAsia="Arial" w:hAnsi="Arial"/>
          <w:b/>
          <w:bCs/>
          <w:color w:val="2E75B6"/>
          <w:sz w:val="28"/>
          <w:szCs w:val="28"/>
        </w:rPr>
        <w:t xml:space="preserve">4.1 Tableau synthétique pct_fiable</w:t>
      </w:r>
    </w:p>
    <w:p>
      <w:pPr>
        <w:spacing w:after="60" w:before="60"/>
        <w:jc w:val="left"/>
      </w:pPr>
      <w:r>
        <w:rPr>
          <w:rFonts w:ascii="Arial" w:cs="Arial" w:eastAsia="Arial" w:hAnsi="Arial"/>
          <w:b w:val="false"/>
          <w:bCs w:val="false"/>
          <w:color w:val="000000"/>
          <w:sz w:val="20"/>
          <w:szCs w:val="20"/>
        </w:rPr>
        <w:t xml:space="preserve">Le tableau ci-dessous présente la couverture fiable (OBSERVED + COMPUTED) par pilier et année. Le seuil institutionnel de 70% est indiqué en rouge, 85% en jaune, 90% en bleu, 95% en vert.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Pilier</w:t>
            </w:r>
          </w:p>
        </w:tc>
        <w:tc>
          <w:tcPr>
            <w:tcW w:type="dxa" w:w="175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2024</w:t>
            </w:r>
          </w:p>
        </w:tc>
        <w:tc>
          <w:tcPr>
            <w:tcW w:type="dxa" w:w="175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2023</w:t>
            </w:r>
          </w:p>
        </w:tc>
        <w:tc>
          <w:tcPr>
            <w:tcW w:type="dxa" w:w="175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2022</w:t>
            </w:r>
          </w:p>
        </w:tc>
        <w:tc>
          <w:tcPr>
            <w:tcW w:type="dxa" w:w="175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2021</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PECO — Économie souveraine</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95.5%</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95.6%</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95.5%</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95.3%</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PENV — Environnement &amp; ressources</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85.0%</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89.5%</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92.8%</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97.5%</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PGEO — Géopolitique &amp; sécurité</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97.5%</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97.3%</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97.2%</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96.9%</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PHUM — Capital humain</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90.3%</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94.2%</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95.2%</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95.7%</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PMIL — Militaire &amp; défense</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90.2%</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90.7%</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91.6%</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91.7%</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 — Ressources minières</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86.7%</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87.4%</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87.2%</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92.0%</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PMON — Souveraineté monétaire</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91.2%</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92.9%</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94.1%</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95.1%</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PNUM — Numérique &amp; innovation</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92.9%</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91.4%</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96.1%</w:t>
            </w:r>
          </w:p>
        </w:tc>
        <w:tc>
          <w:tcPr>
            <w:tcW w:type="dxa" w:w="1755"/>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93.2%</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PRES — Énergie &amp; résilience</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86.5%</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87.0%</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89.3%</w:t>
            </w:r>
          </w:p>
        </w:tc>
        <w:tc>
          <w:tcPr>
            <w:tcW w:type="dxa" w:w="175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96.9%</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PTRA — Infrastructures &amp; transport</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85.9%</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87.3%</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87.5%</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88.6%</w:t>
            </w:r>
          </w:p>
        </w:tc>
      </w:tr>
      <w:t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85.0%</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87.0%</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87.2%</w:t>
            </w:r>
          </w:p>
        </w:tc>
        <w:tc>
          <w:tcPr>
            <w:tcW w:type="dxa" w:w="175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88.6%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95% — Excellent</w:t>
            </w:r>
          </w:p>
        </w:tc>
        <w:tc>
          <w:tcPr>
            <w:tcW w:type="dxa" w:w="234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 90% — Très bon</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 85% — Bon</w:t>
            </w:r>
          </w:p>
        </w:tc>
        <w:tc>
          <w:tcPr>
            <w:tcW w:type="dxa" w:w="23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 70% — Acceptable</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4.2 Tableau détaillé par pilier et année</w:t>
      </w:r>
    </w:p>
    <w:p>
      <w:pPr>
        <w:spacing w:after="60" w:before="60"/>
        <w:jc w:val="left"/>
      </w:pPr>
      <w:r>
        <w:rPr>
          <w:rFonts w:ascii="Arial" w:cs="Arial" w:eastAsia="Arial" w:hAnsi="Arial"/>
          <w:b w:val="false"/>
          <w:bCs w:val="false"/>
          <w:color w:val="000000"/>
          <w:sz w:val="20"/>
          <w:szCs w:val="20"/>
        </w:rPr>
        <w:t xml:space="preserve">Le tableau suivant détaille pour chaque pilier et année : le nombre total de valeurs, la répartition par statut, la confiance moyenne et les deux indicateurs de couverture.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20"/>
        <w:gridCol w:w="780"/>
        <w:gridCol w:w="780"/>
        <w:gridCol w:w="780"/>
        <w:gridCol w:w="780"/>
        <w:gridCol w:w="780"/>
        <w:gridCol w:w="780"/>
        <w:gridCol w:w="780"/>
        <w:gridCol w:w="780"/>
      </w:tblGrid>
      <w:tr>
        <w:trPr>
          <w:tblHeader/>
        </w:trPr>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Pilier</w:t>
            </w:r>
          </w:p>
        </w:tc>
        <w:tc>
          <w:tcPr>
            <w:tcW w:type="dxa" w:w="5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Imput.</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Manq.</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w:t>
            </w:r>
          </w:p>
        </w:tc>
        <w:tc>
          <w:tcPr>
            <w:tcW w:type="dxa" w:w="7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Fiable%</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PECO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15,782</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9,960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5,107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147</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63.100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95.5%</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PENV</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9,356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7,955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380</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0.779</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85.000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85.0%</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PGEO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9,042</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6,252</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2,564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0.846</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69.100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97.5%</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7,183</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6,486</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0.832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90.300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90.3%</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PMIL</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7,635</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6,884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15</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90.200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90.2%</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24,246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21,023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1,181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0.727</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86.700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86.7%</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8,827</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8,050</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0.833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91.200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91.2%</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PNUM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6,385</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5,933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0.872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92.900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92.9%</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PRES</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16,156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13,979</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0.801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86.500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86.5%</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PTRA</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14,545</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12,490</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0.77</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85.900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85.9%</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PECO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13,880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9,410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3,865</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147</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0.845</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67.800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95.6%</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PENV</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8,640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7,735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163</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0.833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89.500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89.5%</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PGEO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8,419</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6,252</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1,943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74.300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97.3%</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6,636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6,254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6</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0.873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94.200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94.2%</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PMIL</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7,373</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6,684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9</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0.827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90.700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90.7%</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22,529</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19,691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1,181</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31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0.728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87.400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87.4%</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7,604</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7,067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0.846</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92.900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92.9%</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PNUM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6,088</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5,563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0.865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91.400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91.4%</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PRES</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14,947</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13,004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0.804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87.000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87.0%</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PTRA</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10,684</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9,322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0.772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87.300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87.3%</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PECO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12,072</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9,130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2,401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147</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75.600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95.5%</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PENV</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7,851</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7,285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56</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0.861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92.800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92.8%</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PGEO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7,676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6,252</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1,211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0.848</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81.400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97.2%</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6,416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6,108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7</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0.882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95.200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95.2%</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PMIL</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7,132</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6,534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9</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0.837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91.600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91.6%</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22,226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19,391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1,181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0.726</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87.200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87.2%</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6,961</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6,549</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0.855</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94.100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94.1%</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PNUM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5,370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5,158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0.908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96.100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96.1%</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PRES</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10,979</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9,804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0.822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89.300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89.3%</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PTRA</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10,138</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8,874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0.773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87.500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87.5%</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PECO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10,704</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8,860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1,339</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147</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0.849</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82.800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95.3%</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PENV</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5,942</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5,791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56</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0.895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97.5%</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PGEO</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7,151</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6,252</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right"/>
            </w:pPr>
            <w:r>
              <w:rPr>
                <w:rFonts w:ascii="Arial" w:cs="Arial" w:eastAsia="Arial" w:hAnsi="Arial"/>
                <w:b w:val="false"/>
                <w:bCs w:val="false"/>
                <w:color w:val="1F7A6E"/>
                <w:sz w:val="20"/>
                <w:szCs w:val="20"/>
              </w:rPr>
              <w:t xml:space="preserve">680</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0.847</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87.400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96.9%</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6,213</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5,944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10</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0.888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95.700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95.7%</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PMIL</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7,069</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6,484</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w:t>
            </w:r>
          </w:p>
        </w:tc>
        <w:tc>
          <w:tcPr>
            <w:tcW w:type="dxa" w:w="7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val="false"/>
                <w:bCs w:val="false"/>
                <w:color w:val="C55A11"/>
                <w:sz w:val="20"/>
                <w:szCs w:val="20"/>
              </w:rPr>
              <w:t xml:space="preserve">9</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0.839</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91.700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91.7%</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15,251</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14,034</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765</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0.708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92.000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92.0%</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6,473</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6,156</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0.862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95.100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95.1%</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PNUM</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5,538</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5,163</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0.887</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93.200</w:t>
            </w:r>
          </w:p>
        </w:tc>
        <w:tc>
          <w:tcPr>
            <w:tcW w:type="dxa" w:w="780"/>
            <w:gridSpan w:val="1"/>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1F7A6E"/>
                <w:sz w:val="20"/>
                <w:szCs w:val="20"/>
              </w:rPr>
              <w:t xml:space="preserve">93.2%</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PRES</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5,825</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5,646</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0.882</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96.900</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96.9%</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PTRA</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8,726</w:t>
            </w:r>
          </w:p>
        </w:tc>
        <w:tc>
          <w:tcPr>
            <w:tcW w:type="dxa" w:w="7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color w:val="375623"/>
                <w:sz w:val="20"/>
                <w:szCs w:val="20"/>
              </w:rPr>
              <w:t xml:space="preserve">7,732</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161</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888888"/>
                <w:sz w:val="20"/>
                <w:szCs w:val="20"/>
              </w:rPr>
              <w:t xml:space="preserve">—</w:t>
            </w:r>
          </w:p>
        </w:tc>
        <w:tc>
          <w:tcPr>
            <w:tcW w:type="dxa" w:w="78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right"/>
            </w:pPr>
            <w:r>
              <w:rPr>
                <w:rFonts w:ascii="Arial" w:cs="Arial" w:eastAsia="Arial" w:hAnsi="Arial"/>
                <w:b w:val="false"/>
                <w:bCs w:val="false"/>
                <w:color w:val="AA0000"/>
                <w:sz w:val="20"/>
                <w:szCs w:val="20"/>
              </w:rPr>
              <w:t xml:space="preserve">0.776</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88.600</w:t>
            </w:r>
          </w:p>
        </w:tc>
        <w:tc>
          <w:tcPr>
            <w:tcW w:type="dxa" w:w="7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88.6%</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5. Analyse par pilier</w:t>
      </w:r>
    </w:p>
    <w:p>
      <w:pPr>
        <w:pStyle w:val="Heading2"/>
        <w:spacing w:after="80" w:before="240"/>
      </w:pPr>
      <w:r>
        <w:rPr>
          <w:rFonts w:ascii="Arial" w:cs="Arial" w:eastAsia="Arial" w:hAnsi="Arial"/>
          <w:b/>
          <w:bCs/>
          <w:color w:val="2E75B6"/>
          <w:sz w:val="28"/>
          <w:szCs w:val="28"/>
        </w:rPr>
        <w:t xml:space="preserve">5.1 PECO — Économie souveraine</w:t>
      </w:r>
    </w:p>
    <w:p>
      <w:pPr>
        <w:spacing w:after="60" w:before="60"/>
        <w:jc w:val="left"/>
      </w:pPr>
      <w:r>
        <w:rPr>
          <w:rFonts w:ascii="Arial" w:cs="Arial" w:eastAsia="Arial" w:hAnsi="Arial"/>
          <w:b w:val="false"/>
          <w:bCs w:val="false"/>
          <w:color w:val="000000"/>
          <w:sz w:val="20"/>
          <w:szCs w:val="20"/>
        </w:rPr>
        <w:t xml:space="preserve">PECO affiche 63% de données observées en 2024 — chiffre trompeur avant correction. Deux indicateurs synthetiques (ECO_PUBLIC_LEAKAGE et ECO_TAX_EFFICIENCY) représentent 32% des valeurs et étaient classés IMPUTED par défaut de taxonomie. Après requalification COMPUTED, la fiabilité réelle de PECO est de 95.5% sur toutes les années. Le faible résidu imputé (0.9%) correspond à des données sectorielles spécifiques non disponibles pour certains petits pays.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5.2 PGEO — Géopolitique &amp; sécurité</w:t>
      </w:r>
    </w:p>
    <w:p>
      <w:pPr>
        <w:spacing w:after="60" w:before="60"/>
        <w:jc w:val="left"/>
      </w:pPr>
      <w:r>
        <w:rPr>
          <w:rFonts w:ascii="Arial" w:cs="Arial" w:eastAsia="Arial" w:hAnsi="Arial"/>
          <w:b w:val="false"/>
          <w:bCs w:val="false"/>
          <w:color w:val="000000"/>
          <w:sz w:val="20"/>
          <w:szCs w:val="20"/>
        </w:rPr>
        <w:t xml:space="preserve">PGEO affiche 69% de données observées en 2024. L’indicateur GEO_SOVEREIGN_MARGIN (marge de souveraineté fiscale mobilisable) est un dérivé direct d’ECO_PUBLIC_LEAKAGE. Après requalification, PGEO atteint 97.5% de fiabilité en 2024 — le meilleur score de tous les piliers. Les 13 autres indicateurs PGEO (conflits, stabilité, paix) sont entre 87% et 100% d’observations directes.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5.3 Piliers sans indicateurs COMPUTED</w:t>
      </w:r>
    </w:p>
    <w:p>
      <w:pPr>
        <w:spacing w:after="60" w:before="60"/>
        <w:jc w:val="left"/>
      </w:pPr>
      <w:r>
        <w:rPr>
          <w:rFonts w:ascii="Arial" w:cs="Arial" w:eastAsia="Arial" w:hAnsi="Arial"/>
          <w:b w:val="false"/>
          <w:bCs w:val="false"/>
          <w:color w:val="000000"/>
          <w:sz w:val="20"/>
          <w:szCs w:val="20"/>
        </w:rPr>
        <w:t xml:space="preserve">Les huit piliers restants (PENV, PHUM, PMIL, PMIN, PMON, PNUM, PRES, PTRA) ne contiennent aucun indicateur synthetique. Leur pct_fiable égale leur pct_observed. Tous sont au-dessus de 85% sur 2021–2024, avec PNUM à 96.1% en 2022 et PENV à 97.5% en 2021 comme sommets.</w:t>
      </w:r>
    </w:p>
    <w:p>
      <w:pPr>
        <w:spacing w:after="80" w:before="80"/>
      </w:pPr>
      <w:r>
        <w:t xml:space="preserve"/>
      </w:r>
    </w:p>
    <w:p>
      <w:pPr>
        <w:pBdr>
          <w:left w:val="single" w:color="C55A11" w:sz="12" w:space="4"/>
        </w:pBdr>
        <w:shd w:fill="FFF2CC" w:val="clear"/>
        <w:spacing w:after="120" w:before="120"/>
        <w:ind w:left="360" w:right="360"/>
      </w:pPr>
      <w:r>
        <w:rPr>
          <w:rFonts w:ascii="Arial" w:cs="Arial" w:eastAsia="Arial" w:hAnsi="Arial"/>
          <w:color w:val="333333"/>
          <w:sz w:val="20"/>
          <w:szCs w:val="20"/>
        </w:rPr>
        <w:t xml:space="preserve">Note sur PMIN : la confiance moyenne est légèrement inférieure (0.708–0.744) en raison de la nature des données minières (USGS Mineral Yearbook, EITI exclu pour invérifiabilité). Cela ne remet pas en cause la publiabilité mais justifie une mention méthodologique dans la documentation de publication.</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6. Conclusion — Décision de publication</w:t>
      </w:r>
    </w:p>
    <w:p>
      <w:pPr>
        <w:pBdr>
          <w:left w:val="single" w:color="375623" w:sz="12" w:space="4"/>
        </w:pBdr>
        <w:shd w:fill="E2EFDA" w:val="clear"/>
        <w:spacing w:after="120" w:before="120"/>
        <w:ind w:left="360" w:right="360"/>
      </w:pPr>
      <w:r>
        <w:rPr>
          <w:rFonts w:ascii="Arial" w:cs="Arial" w:eastAsia="Arial" w:hAnsi="Arial"/>
          <w:color w:val="333333"/>
          <w:sz w:val="20"/>
          <w:szCs w:val="20"/>
        </w:rPr>
        <w:t xml:space="preserve">✅ L’ISA 2021–2024 est publiable sans réserve scientifique majeure. 10/10 piliers dépassent le seuil institutionnel de 70% de fiabilité sur toutes les années du périmètre. La couverture minimale observée est 85.0% (PENV 2024). La confiance moyenne globale est entre 0.708 et 0.908.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2021</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2022</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2023</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 2021–2024</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Piliers ≥ 70% fiable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Seuil institutionnel atteint</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Piliers ≥ 85% fiable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10/10</w:t>
            </w:r>
          </w:p>
        </w:tc>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Publication sans réserve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Confiance moyenne ≥ 0.700</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w:t>
            </w:r>
          </w:p>
        </w:tc>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Scores statistiquement solides</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Année la plus solide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2021</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2021 — couverture maximale sur tous les piliers</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6.1 Recommandations pour la documentation de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Formulation recommandée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Indicateurs COMPUTED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Mentionner explicitement que ECO_PUBLIC_LEAKAGE, ECO_TAX_EFFICIENCY et GEO_SOVEREIGN_MARGIN sont des constructions analytiques OSA, basées sur des sources observées et une méthodologie reproductible.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PMIN — confiance inférieure</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Signaler que les données minières (USGS Mineral Yearbook) présentent une confiance moyenne de 0.72–0.74, légèrement inférieure aux autres piliers, en raison de la nature des sources primaires.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ISA 2025</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Mentionner que l’ISA 2025 est en cours de collecte et sera publié ultérieurement. La dégradation structurelle de couverture sur les années récentes est due aux délais de publication des sources institutionnelles, pas à une faiblesse du dispositif.</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EITI exclu</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Confirmer que les données EITI n’ont pas été intégrées (origine non vérifiable — principe scientifique maintenu). Cette exclusion est documentée et défendable.</w:t>
            </w:r>
          </w:p>
        </w:tc>
      </w:tr>
    </w:tbl>
    <w:p>
      <w:pPr>
        <w:spacing w:after="80" w:before="80"/>
      </w:pPr>
      <w:r>
        <w:t xml:space="preserve"/>
      </w:r>
    </w:p>
    <w:p>
      <w:pPr>
        <w:pBdr>
          <w:left w:val="single" w:color="2E75B6" w:sz="12" w:space="4"/>
        </w:pBdr>
        <w:shd w:fill="D6E4F0" w:val="clear"/>
        <w:spacing w:after="120" w:before="120"/>
        <w:ind w:left="360" w:right="360"/>
      </w:pPr>
      <w:r>
        <w:rPr>
          <w:rFonts w:ascii="Arial" w:cs="Arial" w:eastAsia="Arial" w:hAnsi="Arial"/>
          <w:color w:val="333333"/>
          <w:sz w:val="20"/>
          <w:szCs w:val="20"/>
        </w:rPr>
        <w:t xml:space="preserve">Référence de comparaison : l’Indice Ibrahim (Mo Ibrahim Foundation) publie avec un seuil de 75% de données disponibles. L’IDH (UNDP) publie avec des imputations importantes pour les petits pays. L’OSA Observatory publie à 85–97% de fiabilité — au-dessus des standards de la littérature institutionnelle africaine.</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7. Décision formelle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8"/>
              <w:left w:val="single" w:color="375623" w:sz="8"/>
              <w:bottom w:val="single" w:color="375623" w:sz="8"/>
              <w:right w:val="single" w:color="375623" w:sz="8"/>
            </w:tcBorders>
            <w:shd w:fill="E2EFDA" w:val="clear"/>
            <w:tcMar>
              <w:top w:type="dxa" w:w="200"/>
              <w:left w:type="dxa" w:w="240"/>
              <w:bottom w:type="dxa" w:w="200"/>
              <w:right w:type="dxa" w:w="240"/>
            </w:tcMar>
          </w:tcPr>
          <w:p>
            <w:pPr>
              <w:spacing w:after="60" w:before="60"/>
            </w:pPr>
            <w:r>
              <w:rPr>
                <w:rFonts w:ascii="Arial" w:cs="Arial" w:eastAsia="Arial" w:hAnsi="Arial"/>
                <w:b/>
                <w:bCs/>
                <w:color w:val="375623"/>
                <w:sz w:val="28"/>
                <w:szCs w:val="28"/>
              </w:rPr>
              <w:t xml:space="preserve">✅ L’ISA 2021–2024 est PUBLIABLE</w:t>
            </w:r>
          </w:p>
          <w:p>
            <w:pPr>
              <w:spacing w:after="60" w:before="60"/>
            </w:pPr>
            <w:r>
              <w:rPr>
                <w:rFonts w:ascii="Arial" w:cs="Arial" w:eastAsia="Arial" w:hAnsi="Arial"/>
                <w:color w:val="333333"/>
                <w:sz w:val="20"/>
                <w:szCs w:val="20"/>
              </w:rPr>
              <w:t xml:space="preserve">Couverture fiable : 85.0% à 97.5% selon pilier et année — au-dessus du seuil institutionnel de 70%</w:t>
            </w:r>
          </w:p>
          <w:p>
            <w:pPr>
              <w:spacing w:after="60" w:before="60"/>
            </w:pPr>
            <w:r>
              <w:rPr>
                <w:rFonts w:ascii="Arial" w:cs="Arial" w:eastAsia="Arial" w:hAnsi="Arial"/>
                <w:color w:val="333333"/>
                <w:sz w:val="20"/>
                <w:szCs w:val="20"/>
              </w:rPr>
              <w:t xml:space="preserve">Confiance moyenne : 0.708 à 0.908 selon pilier — niveau Ibrahim Index</w:t>
            </w:r>
          </w:p>
          <w:p>
            <w:pPr>
              <w:spacing w:after="60" w:before="60"/>
            </w:pPr>
            <w:r>
              <w:rPr>
                <w:rFonts w:ascii="Arial" w:cs="Arial" w:eastAsia="Arial" w:hAnsi="Arial"/>
                <w:color w:val="333333"/>
                <w:sz w:val="20"/>
                <w:szCs w:val="20"/>
              </w:rPr>
              <w:t xml:space="preserve">Taxonomie corrigée : statut COMPUTED introduit — 39 163 valeurs requalifiées — commit 791b33e</w:t>
            </w:r>
          </w:p>
          <w:p>
            <w:pPr>
              <w:spacing w:after="60" w:before="60"/>
            </w:pPr>
            <w:r>
              <w:rPr>
                <w:rFonts w:ascii="Arial" w:cs="Arial" w:eastAsia="Arial" w:hAnsi="Arial"/>
                <w:color w:val="1F4E79"/>
                <w:sz w:val="20"/>
                <w:szCs w:val="20"/>
              </w:rPr>
              <w:t xml:space="preserve">Recommandation : lancement accès pilote institutionnel dès Sprint 21 — ISA 2025 à intégrer en Sprint 20</w:t>
            </w:r>
          </w:p>
        </w:tc>
      </w:tr>
    </w:tbl>
    <w:p>
      <w:pPr>
        <w:spacing w:after="80" w:before="80"/>
      </w:pPr>
      <w:r>
        <w:t xml:space="preserve"/>
      </w:r>
    </w:p>
    <w:p>
      <w:pPr>
        <w:spacing w:after="80" w:before="80"/>
      </w:pPr>
      <w:r>
        <w:t xml:space="preserve"/>
      </w:r>
    </w:p>
    <w:p>
      <w:pPr>
        <w:spacing w:after="60" w:before="60"/>
        <w:jc w:val="center"/>
      </w:pPr>
      <w:r>
        <w:rPr>
          <w:rFonts w:ascii="Arial" w:cs="Arial" w:eastAsia="Arial" w:hAnsi="Arial"/>
          <w:b w:val="false"/>
          <w:bCs w:val="false"/>
          <w:color w:val="888888"/>
          <w:sz w:val="18"/>
          <w:szCs w:val="18"/>
        </w:rPr>
        <w:t xml:space="preserve">OSA Observatory — Observatoire de la Souveraineté Africaine</w:t>
      </w:r>
    </w:p>
    <w:p>
      <w:pPr>
        <w:spacing w:after="60" w:before="60"/>
        <w:jc w:val="center"/>
      </w:pPr>
      <w:r>
        <w:rPr>
          <w:rFonts w:ascii="Arial" w:cs="Arial" w:eastAsia="Arial" w:hAnsi="Arial"/>
          <w:b w:val="false"/>
          <w:bCs w:val="false"/>
          <w:color w:val="888888"/>
          <w:sz w:val="16"/>
          <w:szCs w:val="16"/>
        </w:rPr>
        <w:t xml:space="preserve">open.osa-observatory.org — CC-BY-NC-4.0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6"/>
        <w:szCs w:val="16"/>
      </w:rPr>
      <w:t xml:space="preserve">OSA Observatory — Document institutionnel confidentiel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1F4E79"/>
        <w:sz w:val="18"/>
        <w:szCs w:val="18"/>
      </w:rPr>
      <w:t xml:space="preserve">OSA Observatory — Rapport de Couverture des Données</w:t>
    </w:r>
    <w:r>
      <w:rPr>
        <w:rFonts w:ascii="Arial" w:cs="Arial" w:eastAsia="Arial" w:hAnsi="Arial"/>
        <w:color w:val="888888"/>
        <w:sz w:val="16"/>
        <w:szCs w:val="16"/>
      </w:rPr>
      <w:t xml:space="preserve">	Décision de publication ISA 2021–2024 — 31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2026-05-31T21:13:24.443Z</dcterms:created>
  <dcterms:modified xsi:type="dcterms:W3CDTF">2026-05-31T21:13:24.444Z</dcterms:modified>
</cp:coreProperties>
</file>

<file path=docProps/custom.xml><?xml version="1.0" encoding="utf-8"?>
<Properties xmlns="http://schemas.openxmlformats.org/officeDocument/2006/custom-properties" xmlns:vt="http://schemas.openxmlformats.org/officeDocument/2006/docPropsVTypes"/>
</file>