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OSA OBSERVATORY</w:t>
      </w:r>
    </w:p>
    <w:p>
      <w:pPr>
        <w:spacing w:after="60" w:before="0"/>
        <w:jc w:val="center"/>
      </w:pPr>
      <w:r>
        <w:rPr>
          <w:rFonts w:ascii="Arial" w:cs="Arial" w:eastAsia="Arial" w:hAnsi="Arial"/>
          <w:color w:val="555555"/>
          <w:sz w:val="24"/>
          <w:szCs w:val="24"/>
        </w:rPr>
        <w:t xml:space="preserve">Observatoire de la Souveraineté Africaine</w:t>
      </w:r>
    </w:p>
    <w:p>
      <w:pPr>
        <w:spacing w:after="60" w:before="60"/>
      </w:pPr>
      <w:r>
        <w:t xml:space="preserve"/>
      </w:r>
    </w:p>
    <w:p>
      <w:pPr>
        <w:spacing w:after="120" w:before="240"/>
        <w:jc w:val="center"/>
      </w:pPr>
      <w:r>
        <w:rPr>
          <w:rFonts w:ascii="Arial" w:cs="Arial" w:eastAsia="Arial" w:hAnsi="Arial"/>
          <w:b/>
          <w:bCs/>
          <w:color w:val="2E75B6"/>
          <w:sz w:val="44"/>
          <w:szCs w:val="44"/>
        </w:rPr>
        <w:t xml:space="preserve">RAPPORT DE SPRINT 19</w:t>
      </w:r>
    </w:p>
    <w:p>
      <w:pPr>
        <w:spacing w:after="480" w:before="0"/>
        <w:jc w:val="center"/>
      </w:pPr>
      <w:r>
        <w:rPr>
          <w:rFonts w:ascii="Arial" w:cs="Arial" w:eastAsia="Arial" w:hAnsi="Arial"/>
          <w:color w:val="C55A11"/>
          <w:sz w:val="28"/>
          <w:szCs w:val="28"/>
        </w:rPr>
        <w:t xml:space="preserve">Stabilisation Infrastructure &amp; Corrections Doctrinales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mai 2026</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SPRINT COMPLÉT</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API</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2.0.0-production</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Serveur</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VPS Infomaniak — 179.237.69.94 — Plan-les-Ouates, Suisse</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https://api.osa-observatory.africa</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suivant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20 — Préparation lancement (runbook, tests de charge)</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Résumé exécutif</w:t>
      </w:r>
    </w:p>
    <w:p>
      <w:pPr>
        <w:spacing w:after="60" w:before="60"/>
        <w:jc w:val="left"/>
      </w:pPr>
      <w:r>
        <w:rPr>
          <w:rFonts w:ascii="Arial" w:cs="Arial" w:eastAsia="Arial" w:hAnsi="Arial"/>
          <w:b w:val="false"/>
          <w:bCs w:val="false"/>
          <w:color w:val="000000"/>
          <w:sz w:val="20"/>
          <w:szCs w:val="20"/>
        </w:rPr>
        <w:t xml:space="preserve">Le Sprint 19 clôt le programme de stabilisation pré-lancement de l’OSA Observatory. Quatre chantiers ont été menés à terme en une seule session de travail : consolidation de l’infrastructure VPS, corrections doctrinales de la couche API, résolution d’un timeout critique sur l’endpoint Early Warning composite, et mise en place d’un pipeline de monitoring complet Prometheus–Grafana avec alertes automatiques.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2EFDA" w:val="clear"/>
            <w:tcMar>
              <w:top w:type="dxa" w:w="120"/>
              <w:left w:type="dxa" w:w="160"/>
              <w:bottom w:type="dxa" w:w="120"/>
              <w:right w:type="dxa" w:w="160"/>
            </w:tcMar>
            <w:vAlign w:val="center"/>
          </w:tcPr>
          <w:p>
            <w:pPr>
              <w:jc w:val="center"/>
            </w:pPr>
            <w:r>
              <w:rPr>
                <w:rFonts w:ascii="Arial" w:cs="Arial" w:eastAsia="Arial" w:hAnsi="Arial"/>
                <w:b/>
                <w:bCs/>
                <w:color w:val="375623"/>
                <w:sz w:val="36"/>
                <w:szCs w:val="36"/>
              </w:rPr>
              <w:t xml:space="preserve">4 / 4</w:t>
            </w:r>
          </w:p>
          <w:p>
            <w:pPr>
              <w:jc w:val="center"/>
            </w:pPr>
            <w:r>
              <w:rPr>
                <w:rFonts w:ascii="Arial" w:cs="Arial" w:eastAsia="Arial" w:hAnsi="Arial"/>
                <w:color w:val="555555"/>
                <w:sz w:val="16"/>
                <w:szCs w:val="16"/>
              </w:rPr>
              <w:t xml:space="preserve">Chantiers complétés</w:t>
            </w:r>
          </w:p>
        </w:tc>
        <w:tc>
          <w:tcPr>
            <w:tcW w:type="dxa" w:w="2340"/>
            <w:tcBorders>
              <w:top w:val="single" w:color="2E75B6" w:sz="4"/>
              <w:left w:val="single" w:color="2E75B6" w:sz="4"/>
              <w:bottom w:val="single" w:color="2E75B6" w:sz="4"/>
              <w:right w:val="single" w:color="2E75B6" w:sz="4"/>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36"/>
                <w:szCs w:val="36"/>
              </w:rPr>
              <w:t xml:space="preserve">3</w:t>
            </w:r>
          </w:p>
          <w:p>
            <w:pPr>
              <w:jc w:val="center"/>
            </w:pPr>
            <w:r>
              <w:rPr>
                <w:rFonts w:ascii="Arial" w:cs="Arial" w:eastAsia="Arial" w:hAnsi="Arial"/>
                <w:color w:val="555555"/>
                <w:sz w:val="16"/>
                <w:szCs w:val="16"/>
              </w:rPr>
              <w:t xml:space="preserve">Commits GitHub</w:t>
            </w:r>
          </w:p>
        </w:tc>
        <w:tc>
          <w:tcPr>
            <w:tcW w:type="dxa" w:w="2340"/>
            <w:tcBorders>
              <w:top w:val="single" w:color="2E75B6" w:sz="4"/>
              <w:left w:val="single" w:color="2E75B6" w:sz="4"/>
              <w:bottom w:val="single" w:color="2E75B6" w:sz="4"/>
              <w:right w:val="single" w:color="2E75B6" w:sz="4"/>
            </w:tcBorders>
            <w:shd w:fill="D9EAD3" w:val="clear"/>
            <w:tcMar>
              <w:top w:type="dxa" w:w="120"/>
              <w:left w:type="dxa" w:w="160"/>
              <w:bottom w:type="dxa" w:w="120"/>
              <w:right w:type="dxa" w:w="160"/>
            </w:tcMar>
            <w:vAlign w:val="center"/>
          </w:tcPr>
          <w:p>
            <w:pPr>
              <w:jc w:val="center"/>
            </w:pPr>
            <w:r>
              <w:rPr>
                <w:rFonts w:ascii="Arial" w:cs="Arial" w:eastAsia="Arial" w:hAnsi="Arial"/>
                <w:b/>
                <w:bCs/>
                <w:color w:val="1F7A6E"/>
                <w:sz w:val="36"/>
                <w:szCs w:val="36"/>
              </w:rPr>
              <w:t xml:space="preserve">67s → 2ms</w:t>
            </w:r>
          </w:p>
          <w:p>
            <w:pPr>
              <w:jc w:val="center"/>
            </w:pPr>
            <w:r>
              <w:rPr>
                <w:rFonts w:ascii="Arial" w:cs="Arial" w:eastAsia="Arial" w:hAnsi="Arial"/>
                <w:color w:val="555555"/>
                <w:sz w:val="16"/>
                <w:szCs w:val="16"/>
              </w:rPr>
              <w:t xml:space="preserve">Gain perf. composite</w:t>
            </w:r>
          </w:p>
        </w:tc>
        <w:tc>
          <w:tcPr>
            <w:tcW w:type="dxa" w:w="2340"/>
            <w:tcBorders>
              <w:top w:val="single" w:color="2E75B6" w:sz="4"/>
              <w:left w:val="single" w:color="2E75B6" w:sz="4"/>
              <w:bottom w:val="single" w:color="2E75B6" w:sz="4"/>
              <w:right w:val="single" w:color="2E75B6" w:sz="4"/>
            </w:tcBorders>
            <w:shd w:fill="FCE4D6" w:val="clear"/>
            <w:tcMar>
              <w:top w:type="dxa" w:w="120"/>
              <w:left w:type="dxa" w:w="160"/>
              <w:bottom w:type="dxa" w:w="120"/>
              <w:right w:type="dxa" w:w="160"/>
            </w:tcMar>
            <w:vAlign w:val="center"/>
          </w:tcPr>
          <w:p>
            <w:pPr>
              <w:jc w:val="center"/>
            </w:pPr>
            <w:r>
              <w:rPr>
                <w:rFonts w:ascii="Arial" w:cs="Arial" w:eastAsia="Arial" w:hAnsi="Arial"/>
                <w:b/>
                <w:bCs/>
                <w:color w:val="C55A11"/>
                <w:sz w:val="36"/>
                <w:szCs w:val="36"/>
              </w:rPr>
              <w:t xml:space="preserve">2</w:t>
            </w:r>
          </w:p>
          <w:p>
            <w:pPr>
              <w:jc w:val="center"/>
            </w:pPr>
            <w:r>
              <w:rPr>
                <w:rFonts w:ascii="Arial" w:cs="Arial" w:eastAsia="Arial" w:hAnsi="Arial"/>
                <w:color w:val="555555"/>
                <w:sz w:val="16"/>
                <w:szCs w:val="16"/>
              </w:rPr>
              <w:t xml:space="preserve">Alertes Grafana actives</w:t>
            </w:r>
          </w:p>
        </w:tc>
      </w:tr>
    </w:tbl>
    <w:p>
      <w:pPr>
        <w:spacing w:after="60" w:before="60"/>
      </w:pPr>
      <w:r>
        <w:t xml:space="preserve"/>
      </w:r>
    </w:p>
    <w:p>
      <w:pPr>
        <w:pBdr>
          <w:left w:val="single" w:color="375623" w:sz="12" w:space="4"/>
        </w:pBdr>
        <w:shd w:fill="E2EFDA" w:val="clear"/>
        <w:spacing w:after="120" w:before="120"/>
        <w:ind w:left="360" w:right="360"/>
      </w:pPr>
      <w:r>
        <w:rPr>
          <w:rFonts w:ascii="Arial" w:cs="Arial" w:eastAsia="Arial" w:hAnsi="Arial"/>
          <w:color w:val="333333"/>
          <w:sz w:val="20"/>
          <w:szCs w:val="20"/>
        </w:rPr>
        <w:t xml:space="preserve">✅ Production validée : https://api.osa-observatory.africa/health → {"status":"ok","database":"connected","version":"2.0.0-production"} — 54 pays × 228 indicateurs × 15 ans (2010–2024) en ligne.</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2. Chantier C — Infrastructure VPS</w:t>
      </w:r>
    </w:p>
    <w:p>
      <w:pPr>
        <w:pStyle w:val="Heading2"/>
        <w:spacing w:after="80" w:before="240"/>
      </w:pPr>
      <w:r>
        <w:rPr>
          <w:rFonts w:ascii="Arial" w:cs="Arial" w:eastAsia="Arial" w:hAnsi="Arial"/>
          <w:b/>
          <w:bCs/>
          <w:color w:val="2E75B6"/>
          <w:sz w:val="28"/>
          <w:szCs w:val="28"/>
        </w:rPr>
        <w:t xml:space="preserve">2.1 Clé SSH GitHub (priorité bloquante)</w:t>
      </w:r>
    </w:p>
    <w:p>
      <w:pPr>
        <w:spacing w:after="60" w:before="60"/>
        <w:jc w:val="left"/>
      </w:pPr>
      <w:r>
        <w:rPr>
          <w:rFonts w:ascii="Arial" w:cs="Arial" w:eastAsia="Arial" w:hAnsi="Arial"/>
          <w:b w:val="false"/>
          <w:bCs w:val="false"/>
          <w:color w:val="000000"/>
          <w:sz w:val="20"/>
          <w:szCs w:val="20"/>
        </w:rPr>
        <w:t xml:space="preserve">Le déploiement depuis le VPS était bloqué : la remote Git utilisait un token HTTPS personnel TDBakang exposé en clair dans l’URL. Ce token a été éliminé et remplacé par une clé SSH dédiée.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Résultat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Génération clé ED25519 sur VPS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~/.ssh/github_osa</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 key ajoutée sur Bath4856/osa-observatory</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Read/Write — 31 mai 2026</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 ~/.ssh/config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Host github.com — IdentityFile github_osa</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Remote HTTPS → SSH</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git@github.com:Bath4856/osa-observatory.git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 HTTPS supprimé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Plus aucun secret en clair dans Git</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Identité Git configurée</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Bath4856 / contact@kon-won.com</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git push depuis VPS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Hi Bath4856/osa-observatory! — SSH validé</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2.2 Rotation des logs Docker</w:t>
      </w:r>
    </w:p>
    <w:p>
      <w:pPr>
        <w:spacing w:after="60" w:before="60"/>
        <w:jc w:val="left"/>
      </w:pPr>
      <w:r>
        <w:rPr>
          <w:rFonts w:ascii="Arial" w:cs="Arial" w:eastAsia="Arial" w:hAnsi="Arial"/>
          <w:b w:val="false"/>
          <w:bCs w:val="false"/>
          <w:color w:val="000000"/>
          <w:sz w:val="20"/>
          <w:szCs w:val="20"/>
        </w:rPr>
        <w:t xml:space="preserve">Sans limite de taille, les logs Docker auraient saturé /dev/sda1 (20 Go OS). La configuration suivante a été appliquée dans /etc/docker/daemon.json :</w:t>
      </w:r>
    </w:p>
    <w:p>
      <w:pPr>
        <w:pBdr>
          <w:left w:val="single" w:color="2E75B6" w:sz="12" w:space="4"/>
        </w:pBdr>
        <w:shd w:fill="D6E4F0" w:val="clear"/>
        <w:spacing w:after="120" w:before="120"/>
        <w:ind w:left="360" w:right="360"/>
      </w:pPr>
      <w:r>
        <w:rPr>
          <w:rFonts w:ascii="Arial" w:cs="Arial" w:eastAsia="Arial" w:hAnsi="Arial"/>
          <w:color w:val="333333"/>
          <w:sz w:val="20"/>
          <w:szCs w:val="20"/>
        </w:rPr>
        <w:t xml:space="preserve">{ "log-driver": "json-file", "log-opts": { "max-size": "10m", "max-file": "3" } } — Docker redémarré — 4/4 containers remountés healthy — Logging Driver json-file confirmé.</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2.3 UptimeRobot — Monitoring uptime</w:t>
      </w:r>
    </w:p>
    <w:p>
      <w:pPr>
        <w:spacing w:after="60" w:before="60"/>
        <w:jc w:val="left"/>
      </w:pPr>
      <w:r>
        <w:rPr>
          <w:rFonts w:ascii="Arial" w:cs="Arial" w:eastAsia="Arial" w:hAnsi="Arial"/>
          <w:b w:val="false"/>
          <w:bCs w:val="false"/>
          <w:color w:val="000000"/>
          <w:sz w:val="20"/>
          <w:szCs w:val="20"/>
        </w:rPr>
        <w:t xml:space="preserve">Un moniteur HTTP a été configuré sur UptimeRobot pour surveiller l’endpoint /health de l’API. En cas de panne, une alerte email est envoyée immédiatement.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Paramètre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surveillée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https://api.osa-observatory.africa/health</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 Site web</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 email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contact@kon-won.com</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2.4 Alertes Grafana — p95 et taux erreurs</w:t>
      </w:r>
    </w:p>
    <w:p>
      <w:pPr>
        <w:spacing w:after="60" w:before="60"/>
        <w:jc w:val="left"/>
      </w:pPr>
      <w:r>
        <w:rPr>
          <w:rFonts w:ascii="Arial" w:cs="Arial" w:eastAsia="Arial" w:hAnsi="Arial"/>
          <w:b w:val="false"/>
          <w:bCs w:val="false"/>
          <w:color w:val="000000"/>
          <w:sz w:val="20"/>
          <w:szCs w:val="20"/>
        </w:rPr>
        <w:t xml:space="preserve">La mise en place des alertes Grafana a nécessité une correction architecturale préalable : l’endpoint /metrics était protégé par JWT, empêchant Prometheus de scraper les métriques OSA. La solution retenue est un serveur WSGI interne sur le port 9091, accessible uniquement depuis le réseau Docker interne.</w:t>
      </w:r>
    </w:p>
    <w:p>
      <w:pPr>
        <w:spacing w:after="60" w:before="60"/>
      </w:pPr>
      <w:r>
        <w:t xml:space="preserve"/>
      </w:r>
    </w:p>
    <w:p>
      <w:pPr>
        <w:pBdr>
          <w:left w:val="single" w:color="2E75B6" w:sz="12" w:space="4"/>
        </w:pBdr>
        <w:shd w:fill="D6E4F0" w:val="clear"/>
        <w:spacing w:after="120" w:before="120"/>
        <w:ind w:left="360" w:right="360"/>
      </w:pPr>
      <w:r>
        <w:rPr>
          <w:rFonts w:ascii="Arial" w:cs="Arial" w:eastAsia="Arial" w:hAnsi="Arial"/>
          <w:color w:val="333333"/>
          <w:sz w:val="20"/>
          <w:szCs w:val="20"/>
        </w:rPr>
        <w:t xml:space="preserve">Principe de sécurité : le port 9091 n’est jamais exposé publiquement via Nginx. Seul osa-prometheus peut y accéder depuis le réseau Docker interne. Le /metrics JWT protégé sur le port 8000 reste inchangé pour les accès EXPERT.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api/metrics_server.py</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Serveur WSGI interne port 9091 sans auth</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Créé</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api/main.py</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Lifespan event — démarrage au boot FastAPI</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Intégré</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prometheus.yml</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osa-api:9091 (remplace :8000)</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Mis à jour</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Métriques OSA</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osa_request_duration_seconds, osa_errors_total</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4 séries scrapées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 p95 &gt; 500ms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histogram_quantile(0.95, ...) &gt; 0.5</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Active (warning)</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 erreurs &gt; 1%</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osa_errors_total / osa_requests_total &gt; 0.01</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Active (critical)</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Chantier A — Corrections doctrinales API</w:t>
      </w:r>
    </w:p>
    <w:p>
      <w:pPr>
        <w:spacing w:after="60" w:before="60"/>
        <w:jc w:val="left"/>
      </w:pPr>
      <w:r>
        <w:rPr>
          <w:rFonts w:ascii="Arial" w:cs="Arial" w:eastAsia="Arial" w:hAnsi="Arial"/>
          <w:b w:val="false"/>
          <w:bCs w:val="false"/>
          <w:color w:val="000000"/>
          <w:sz w:val="20"/>
          <w:szCs w:val="20"/>
        </w:rPr>
        <w:t xml:space="preserve">Six corrections doctrinales ont été appliquées sur les routers rankings.py et opendata.py pour solder les incohérences héritées entre les vues pub.* corrigées au Sprint 18 et les routers FastAPI qui les interrogeaient avec les anciens noms de champs.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3.1 rankings.py → scores.py</w:t>
      </w:r>
    </w:p>
    <w:p>
      <w:pPr>
        <w:pBdr>
          <w:left w:val="single" w:color="C55A11" w:sz="12" w:space="4"/>
        </w:pBdr>
        <w:shd w:fill="FCE4D6" w:val="clear"/>
        <w:spacing w:after="120" w:before="120"/>
        <w:ind w:left="360" w:right="360"/>
      </w:pPr>
      <w:r>
        <w:rPr>
          <w:rFonts w:ascii="Arial" w:cs="Arial" w:eastAsia="Arial" w:hAnsi="Arial"/>
          <w:color w:val="333333"/>
          <w:sz w:val="20"/>
          <w:szCs w:val="20"/>
        </w:rPr>
        <w:t xml:space="preserve">[DÉCISION] L’endpoint /api/v2/rankings est déprécié. Redirection 301 permanente vers /api/v2/scores ajoutée dans main.py. Suppression prévue au Sprint 21 (post-lancement). Aucun partenaire institutionnel ne cite encore l’URL publiquement — la fenêtre de migration est ouverte.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Localisation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Après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prefix</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/api/v2/rankings</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/api/v2/scores</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tags</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["Rankings"]</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["Scores"]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×3</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isa_rank</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isa_position</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×3</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regional_rank</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regional_position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×3</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sovereign_momentum</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sovereign_trajectory</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Clé JSON</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"rankings":</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"scores":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Disclaimer</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Rankings are informational...</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Positions are computed for reference...</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Redirection</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301 /rankings → /scores (main.py)</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3.2 opendata.py — Doctrine et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Après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tags</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CC-BY-4.0</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CC-BY-NC-4.0</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license</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CC-BY-4.0</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CC-BY-NC-4.0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Filtre momentum</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sovereign_momentum = :momentum</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sovereign_trajectory = :momentum</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affiliation_call</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Subscribe at open.osa-observatory.org...</w:t>
            </w:r>
          </w:p>
        </w:tc>
        <w:tc>
          <w:tcPr>
            <w:tcW w:type="dxa" w:w="351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Request institutional access at...</w:t>
            </w:r>
          </w:p>
        </w:tc>
      </w:tr>
    </w:tbl>
    <w:p>
      <w:pPr>
        <w:spacing w:after="60" w:before="60"/>
      </w:pPr>
      <w:r>
        <w:t xml:space="preserve"/>
      </w:r>
    </w:p>
    <w:p>
      <w:pPr>
        <w:pBdr>
          <w:left w:val="single" w:color="375623" w:sz="12" w:space="4"/>
        </w:pBdr>
        <w:shd w:fill="E2EFDA" w:val="clear"/>
        <w:spacing w:after="120" w:before="120"/>
        <w:ind w:left="360" w:right="360"/>
      </w:pPr>
      <w:r>
        <w:rPr>
          <w:rFonts w:ascii="Arial" w:cs="Arial" w:eastAsia="Arial" w:hAnsi="Arial"/>
          <w:color w:val="333333"/>
          <w:sz w:val="20"/>
          <w:szCs w:val="20"/>
        </w:rPr>
        <w:t xml:space="preserve">Validation : curl /api/v2/scores?year=2024 → count: 54 | clé scores: True | trajectory: IMPROVING_TRAJECTORY. Redirection 301 validée : HTTP/1.1 301 Moved Permanently.</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Chantier B — Résolution timeout 504 Early Warning</w:t>
      </w:r>
    </w:p>
    <w:p>
      <w:pPr>
        <w:spacing w:after="60" w:before="60"/>
        <w:jc w:val="left"/>
      </w:pPr>
      <w:r>
        <w:rPr>
          <w:rFonts w:ascii="Arial" w:cs="Arial" w:eastAsia="Arial" w:hAnsi="Arial"/>
          <w:b w:val="false"/>
          <w:bCs w:val="false"/>
          <w:color w:val="000000"/>
          <w:sz w:val="20"/>
          <w:szCs w:val="20"/>
        </w:rPr>
        <w:t xml:space="preserve">L’audit des endpoints /api/v2/early-warning/ a révélé un problème plus grave que les 500 pre-auth décrits dans le cadrage : un timeout 504 Gateway sur /composite dû à une vue non matérialisée extrêmement lourde.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4.1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 HTTP</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/api/v2/early-warning/civilian-protection</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OK ✅</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/api/v2/early-warning/composite</w:t>
            </w:r>
          </w:p>
        </w:tc>
        <w:tc>
          <w:tcPr>
            <w:tcW w:type="dxa" w:w="46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504 Gateway Timeout ❌</w:t>
            </w:r>
          </w:p>
        </w:tc>
      </w:tr>
    </w:tbl>
    <w:p>
      <w:pPr>
        <w:spacing w:after="60" w:before="60"/>
      </w:pPr>
      <w:r>
        <w:t xml:space="preserve"/>
      </w:r>
    </w:p>
    <w:p>
      <w:pPr>
        <w:spacing w:after="60" w:before="60"/>
        <w:jc w:val="left"/>
      </w:pPr>
      <w:r>
        <w:rPr>
          <w:rFonts w:ascii="Arial" w:cs="Arial" w:eastAsia="Arial" w:hAnsi="Arial"/>
          <w:b w:val="false"/>
          <w:bCs w:val="false"/>
          <w:color w:val="000000"/>
          <w:sz w:val="20"/>
          <w:szCs w:val="20"/>
        </w:rPr>
        <w:t xml:space="preserve">Cause identifiée : ma.v_p7i_amar_composite_dashboard est une vue simple (non matérialisée) qui effectue un FULL JOIN entre deux moteurs analytiques complexes (AMAR × GENECO). Temps d’exécution mesuré en base : 67 213 ms (01:07). Timeout Nginx : 60 secondes. La vue était recalculée intégralement à chaque appel API.</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4.2 Solution — Matérialisation</w:t>
      </w:r>
    </w:p>
    <w:p>
      <w:pPr>
        <w:pBdr>
          <w:left w:val="single" w:color="2E75B6" w:sz="12" w:space="4"/>
        </w:pBdr>
        <w:shd w:fill="D6E4F0" w:val="clear"/>
        <w:spacing w:after="120" w:before="120"/>
        <w:ind w:left="360" w:right="360"/>
      </w:pPr>
      <w:r>
        <w:rPr>
          <w:rFonts w:ascii="Arial" w:cs="Arial" w:eastAsia="Arial" w:hAnsi="Arial"/>
          <w:color w:val="333333"/>
          <w:sz w:val="20"/>
          <w:szCs w:val="20"/>
        </w:rPr>
        <w:t xml:space="preserve">[DÉCISION] Création de ma.mv_p7i_amar_composite_dashboard (vue matérialisée) avec index unique sur (country_iso3, year). Le router early_warning.py est redirigé vers la MV. Refresh à exécuter après chaque intégration de données 2025 : REFRESH MATERIALIZED VIEW CONCURRENTLY ma.mv_p7i_amar_composite_dashboard.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Après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Temps exécution SELECT COUNT(*)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67 213 ms (01:07)</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2 ms</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HTTP /composite</w:t>
            </w:r>
          </w:p>
        </w:tc>
        <w:tc>
          <w:tcPr>
            <w:tcW w:type="dxa" w:w="312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504 Gateway Timeout</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200 OK</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objet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0000"/>
                <w:sz w:val="20"/>
                <w:szCs w:val="20"/>
              </w:rPr>
              <w:t xml:space="preserve">VIEW (recalcul systématique)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MATERIALIZED VIEW + index unique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Lignes matérialisées</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12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810 (54 pays × 15 ans)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Facteur gain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×30 000</w:t>
            </w:r>
          </w:p>
        </w:tc>
      </w:tr>
    </w:tbl>
    <w:p>
      <w:pPr>
        <w:spacing w:after="60" w:before="60"/>
      </w:pPr>
      <w:r>
        <w:t xml:space="preserve"/>
      </w:r>
    </w:p>
    <w:p>
      <w:pPr>
        <w:pBdr>
          <w:left w:val="single" w:color="375623" w:sz="12" w:space="4"/>
        </w:pBdr>
        <w:shd w:fill="E2EFDA" w:val="clear"/>
        <w:spacing w:after="120" w:before="120"/>
        <w:ind w:left="360" w:right="360"/>
      </w:pPr>
      <w:r>
        <w:rPr>
          <w:rFonts w:ascii="Arial" w:cs="Arial" w:eastAsia="Arial" w:hAnsi="Arial"/>
          <w:color w:val="333333"/>
          <w:sz w:val="20"/>
          <w:szCs w:val="20"/>
        </w:rPr>
        <w:t xml:space="preserve">Fichier sauvegardé dans le repo : db/views/ma_mv_p7i_amar_composite_dashboard.sql — Validation : curl /api/v2/early-warning/composite?year=2024 → count: 54 | band: ORANGE.</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Commits Sprint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Chantier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77ea025</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 C (SSH)</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feat(sprint19): doctrine API — /scores, CC-BY-NC-4.0, sovereign_trajectory, redirection 301 rankings</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1c6f79b</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fix(sprint19): mv composite AMAR — matérialisation v_p7i_amar_composite_dashboard — 67s → 2ms — résolution 504</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cdf075b</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(Grafana)</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feat(sprint19): métriques internes port 9091 — Prometheus scrape sans auth — alertes Grafana p95+erreurs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6. Tableau de bord Sprint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3900"/>
        <w:gridCol w:w="15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 technique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Clé SSH GitHub VPS</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ED25519 deploy key Bath4856 — remote SSH migrée</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Rotation logs Docker</w:t>
            </w:r>
          </w:p>
        </w:tc>
        <w:tc>
          <w:tcPr>
            <w:tcW w:type="dxa" w:w="3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daemon.json — max-size 10m / max-file 3</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C3</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UptimeRobot monitoring</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Moniteur /health → contact@kon-won.com</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C4</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Alertes Grafana p95 / erreurs</w:t>
            </w:r>
          </w:p>
        </w:tc>
        <w:tc>
          <w:tcPr>
            <w:tcW w:type="dxa" w:w="3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 9091 interne — 2 règles actives — email contact@kon-won.com</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rankings.py → /scores</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prefix, positions, trajectory, disclaimer, clé JSON</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Redirection 301</w:t>
            </w:r>
          </w:p>
        </w:tc>
        <w:tc>
          <w:tcPr>
            <w:tcW w:type="dxa" w:w="3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/rankings → /scores — suppression Sprint 21</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A3</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opendata.py doctrine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CC-BY-NC-4.0, sovereign_trajectory, accès institutionnel</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504 composite AMAR</w:t>
            </w:r>
          </w:p>
        </w:tc>
        <w:tc>
          <w:tcPr>
            <w:tcW w:type="dxa" w:w="3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mv_p7i_amar_composite_dashboard — 67s → 2ms</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DONE</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7. Décisions doctrinales Sprint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Décision</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Endpoint /rankings déprécié</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Redirection 301 /api/v2/rankings → /api/v2/scores. Suppression au Sprint 21.</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Licence CC-BY-NC-4.0</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Toute la couche pub.* (vues + API) publiée sous CC-BY-NC-4.0. Usage commercial tiers interdit.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Matérialisation AMAR composite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mv_p7i_amar_composite_dashboard remplace v_p7i_amar_composite_dashboard pour les endpoints API. Refresh CONCURRENTLY après chaque intégration 2025.</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Métriques internes port 9091</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 /metrics JWT protégé (port 8000) reste pour les accès EXPERT. Le port 9091 est réservé au scraping interne Prometheus — jamais exposé publiquement.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Chantier D reporté</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collecte données 2025 fait l’objet d’un cadrage dédié. Pipeline et sources à valider avant lancement.</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8. Feuille de route OSA Observatory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5460"/>
        <w:gridCol w:w="1560"/>
      </w:tblGrid>
      <w:tr>
        <w:trPr>
          <w:tblHeader/>
        </w:trP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Période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Avr–Mai 2026</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JWT + 2FA + SMTP + Prometheus + Nginx HTTPS + Audit 59/59</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CLOS</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Mai–Juin 2026</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VPS Infomaniak + Docker + HTTPS + Doctrine pub.* + Swiss Backup</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CLOS</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Juin 2026</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SSH GitHub + Rotation logs + UptimeRobot + Alertes Grafana + Doctrine API + MV AMAR 504</w:t>
            </w:r>
          </w:p>
        </w:tc>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 CLOS</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Août 2026</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Collecte données 2025 + Runbook exploitation + Tests de charge + Portail public</w:t>
            </w:r>
          </w:p>
        </w:tc>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 À venir</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2026</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Lancement rodage — accès institutionnel pilotes</w:t>
            </w:r>
          </w:p>
        </w:tc>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 À venir</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2027</w:t>
            </w:r>
          </w:p>
        </w:tc>
        <w:tc>
          <w:tcPr>
            <w:tcW w:type="dxa" w:w="5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Tokenisation fine + gouvernance commerciale (18A/18B)</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Post</w:t>
            </w:r>
          </w:p>
        </w:tc>
      </w:tr>
    </w:tbl>
    <w:p>
      <w:pPr>
        <w:spacing w:after="60" w:before="60"/>
      </w:pPr>
      <w:r>
        <w:t xml:space="preserve"/>
      </w:r>
    </w:p>
    <w:p>
      <w:pPr>
        <w:spacing w:after="60" w:before="60"/>
      </w:pPr>
      <w:r>
        <w:t xml:space="preserve"/>
      </w:r>
    </w:p>
    <w:p>
      <w:pPr>
        <w:pBdr>
          <w:left w:val="single" w:color="1F4E79" w:sz="12" w:space="4"/>
        </w:pBdr>
        <w:shd w:fill="D6E4F0" w:val="clear"/>
        <w:spacing w:after="120" w:before="120"/>
        <w:ind w:left="360" w:right="360"/>
      </w:pPr>
      <w:r>
        <w:rPr>
          <w:rFonts w:ascii="Arial" w:cs="Arial" w:eastAsia="Arial" w:hAnsi="Arial"/>
          <w:color w:val="333333"/>
          <w:sz w:val="20"/>
          <w:szCs w:val="20"/>
        </w:rPr>
        <w:t xml:space="preserve">[DÉCISION] Doctrine de publication OSA Observatory — La couche pub.* expose des positions (isa_position), des trajectoires (sovereign_trajectory) et des accès institutionnels. Aucun classement compétitif entre États souverains. Aucun lexique SaaS. Licence CC-BY-NC-4.0. Les couches analytiques internes P7/ma.* restent inchangées.</w:t>
      </w:r>
    </w:p>
    <w:p>
      <w:pPr>
        <w:spacing w:after="60" w:before="60"/>
      </w:pPr>
      <w:r>
        <w:t xml:space="preserve"/>
      </w:r>
    </w:p>
    <w:p>
      <w:pPr>
        <w:spacing w:after="60" w:before="60"/>
        <w:jc w:val="center"/>
      </w:pPr>
      <w:r>
        <w:rPr>
          <w:rFonts w:ascii="Arial" w:cs="Arial" w:eastAsia="Arial" w:hAnsi="Arial"/>
          <w:b w:val="false"/>
          <w:bCs w:val="false"/>
          <w:color w:val="888888"/>
          <w:sz w:val="18"/>
          <w:szCs w:val="18"/>
        </w:rPr>
        <w:t xml:space="preserve">OSA Observatory — Observatoire de la Souveraineté Africaine</w:t>
      </w:r>
    </w:p>
    <w:p>
      <w:pPr>
        <w:spacing w:after="60" w:before="60"/>
        <w:jc w:val="center"/>
      </w:pPr>
      <w:r>
        <w:rPr>
          <w:rFonts w:ascii="Arial" w:cs="Arial" w:eastAsia="Arial" w:hAnsi="Arial"/>
          <w:b w:val="false"/>
          <w:bCs w:val="false"/>
          <w:color w:val="888888"/>
          <w:sz w:val="16"/>
          <w:szCs w:val="16"/>
        </w:rPr>
        <w:t xml:space="preserve">open.osa-observatory.org — CC-BY-NC-4.0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6"/>
        <w:szCs w:val="16"/>
      </w:rPr>
      <w:t xml:space="preserve">OSA Observatory — Confidentiel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1F4E79"/>
        <w:sz w:val="18"/>
        <w:szCs w:val="18"/>
      </w:rPr>
      <w:t xml:space="preserve">OSA Observatory — Rapport Sprint 19</w:t>
    </w:r>
    <w:r>
      <w:rPr>
        <w:rFonts w:ascii="Arial" w:cs="Arial" w:eastAsia="Arial" w:hAnsi="Arial"/>
        <w:color w:val="888888"/>
        <w:sz w:val="16"/>
        <w:szCs w:val="16"/>
      </w:rPr>
      <w:t xml:space="preserve">	Stabilisation &amp; Infrastructure — 31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2026-05-31T19:38:57.914Z</dcterms:created>
  <dcterms:modified xsi:type="dcterms:W3CDTF">2026-05-31T19:38:57.914Z</dcterms:modified>
</cp:coreProperties>
</file>

<file path=docProps/custom.xml><?xml version="1.0" encoding="utf-8"?>
<Properties xmlns="http://schemas.openxmlformats.org/officeDocument/2006/custom-properties" xmlns:vt="http://schemas.openxmlformats.org/officeDocument/2006/docPropsVTypes"/>
</file>