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pPr>
      <w:r>
        <w:rPr>
          <w:rFonts w:ascii="Arial" w:cs="Arial" w:eastAsia="Arial" w:hAnsi="Arial"/>
          <w:b/>
          <w:bCs/>
          <w:color w:val="1F4E79"/>
          <w:sz w:val="52"/>
          <w:szCs w:val="52"/>
        </w:rPr>
        <w:t xml:space="preserve">OSA OBSERVATORY</w:t>
      </w:r>
    </w:p>
    <w:p>
      <w:pPr>
        <w:spacing w:after="80" w:before="0"/>
      </w:pPr>
      <w:r>
        <w:rPr>
          <w:rFonts w:ascii="Arial" w:cs="Arial" w:eastAsia="Arial" w:hAnsi="Arial"/>
          <w:color w:val="595959"/>
          <w:sz w:val="24"/>
          <w:szCs w:val="24"/>
        </w:rPr>
        <w:t xml:space="preserve">Observatoire de la Souverainete Africaine</w:t>
      </w:r>
    </w:p>
    <w:p>
      <w:pPr>
        <w:pBdr>
          <w:bottom w:val="single" w:color="1F4E79" w:sz="4"/>
        </w:pBdr>
        <w:spacing w:after="120" w:before="120"/>
      </w:pPr>
    </w:p>
    <w:p>
      <w:pPr>
        <w:spacing w:after="80" w:before="360"/>
      </w:pPr>
      <w:r>
        <w:rPr>
          <w:rFonts w:ascii="Arial" w:cs="Arial" w:eastAsia="Arial" w:hAnsi="Arial"/>
          <w:b/>
          <w:bCs/>
          <w:color w:val="C55A11"/>
          <w:sz w:val="28"/>
          <w:szCs w:val="28"/>
        </w:rPr>
        <w:t xml:space="preserve">Document de Cadrage</w:t>
      </w:r>
    </w:p>
    <w:p>
      <w:pPr>
        <w:spacing w:after="80" w:before="0"/>
      </w:pPr>
      <w:r>
        <w:rPr>
          <w:rFonts w:ascii="Arial" w:cs="Arial" w:eastAsia="Arial" w:hAnsi="Arial"/>
          <w:b/>
          <w:bCs/>
          <w:color w:val="1F4E79"/>
          <w:sz w:val="40"/>
          <w:szCs w:val="40"/>
        </w:rPr>
        <w:t xml:space="preserve">Sprint 25 - AMAR Trigger Engine</w:t>
      </w:r>
    </w:p>
    <w:p>
      <w:pPr>
        <w:spacing w:after="400" w:before="0"/>
      </w:pPr>
      <w:r>
        <w:rPr>
          <w:rFonts w:ascii="Arial" w:cs="Arial" w:eastAsia="Arial" w:hAnsi="Arial"/>
          <w:color w:val="595959"/>
          <w:sz w:val="24"/>
          <w:szCs w:val="24"/>
        </w:rPr>
        <w:t xml:space="preserve">Chantier A : Table / Vue / API / Documentation publique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6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Reference</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OSA-SPRINT-25-CADRAGE-v1.0</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20"/>
                <w:szCs w:val="20"/>
              </w:rPr>
              <w:t xml:space="preserve">Date d'emission</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20"/>
                <w:szCs w:val="20"/>
              </w:rPr>
              <w:t xml:space="preserve">23 juin 2026</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Sprint HEAD</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f62eae2 (Sprint 21)</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20"/>
                <w:szCs w:val="20"/>
              </w:rPr>
              <w:t xml:space="preserve">Redacteur</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20"/>
                <w:szCs w:val="20"/>
              </w:rPr>
              <w:t xml:space="preserve">Theo - Architecte principal OSA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Statut</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APPROUVE - Conseil technique OSA</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20"/>
                <w:szCs w:val="20"/>
              </w:rPr>
              <w:t xml:space="preserve">GAF findings de reference</w:t>
            </w:r>
          </w:p>
        </w:tc>
        <w:tc>
          <w:tcPr>
            <w:tcW w:type="dxa" w:w="6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20"/>
                <w:szCs w:val="20"/>
              </w:rPr>
              <w:t xml:space="preserve">ops.audit_findings #20, #21, #22</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Document precedent</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docs/cadrage_amar_trigger_engine.docx</w:t>
            </w:r>
          </w:p>
        </w:tc>
      </w:tr>
    </w:tbl>
    <w:p>
      <w:r>
        <w:br w:type="page"/>
      </w:r>
    </w:p>
    <w:p>
      <w:pPr>
        <w:pStyle w:val="Heading1"/>
        <w:spacing w:after="120" w:before="360"/>
      </w:pPr>
      <w:r>
        <w:rPr>
          <w:rFonts w:ascii="Arial" w:cs="Arial" w:eastAsia="Arial" w:hAnsi="Arial"/>
          <w:b/>
          <w:bCs/>
          <w:color w:val="1F4E79"/>
          <w:sz w:val="32"/>
          <w:szCs w:val="32"/>
        </w:rPr>
        <w:t xml:space="preserve">1. Contexte doctrinal et positionnement</w:t>
      </w:r>
    </w:p>
    <w:p>
      <w:pPr>
        <w:pBdr>
          <w:bottom w:val="single" w:color="CCCCCC" w:sz="4"/>
        </w:pBdr>
        <w:spacing w:after="120" w:before="120"/>
      </w:pPr>
    </w:p>
    <w:p>
      <w:pPr>
        <w:pStyle w:val="Heading2"/>
        <w:spacing w:after="80" w:before="240"/>
      </w:pPr>
      <w:r>
        <w:rPr>
          <w:rFonts w:ascii="Arial" w:cs="Arial" w:eastAsia="Arial" w:hAnsi="Arial"/>
          <w:b/>
          <w:bCs/>
          <w:color w:val="1F4E79"/>
          <w:sz w:val="26"/>
          <w:szCs w:val="26"/>
        </w:rPr>
        <w:t xml:space="preserve">1.1 Positionnement des moteurs analytiques OSA</w:t>
      </w:r>
    </w:p>
    <w:p>
      <w:pPr>
        <w:spacing w:after="60" w:before="60"/>
      </w:pPr>
      <w:r>
        <w:rPr>
          <w:rFonts w:ascii="Arial" w:cs="Arial" w:eastAsia="Arial" w:hAnsi="Arial"/>
          <w:b/>
          <w:bCs/>
          <w:color w:val="000000"/>
          <w:sz w:val="22"/>
          <w:szCs w:val="22"/>
        </w:rPr>
        <w:t xml:space="preserve">AMAR</w:t>
      </w:r>
      <w:r>
        <w:rPr>
          <w:rFonts w:ascii="Arial" w:cs="Arial" w:eastAsia="Arial" w:hAnsi="Arial"/>
          <w:sz w:val="22"/>
          <w:szCs w:val="22"/>
        </w:rPr>
        <w:t xml:space="preserve"> (Atrocity and Mass Violence Analytical Radar) </w:t>
      </w:r>
      <w:r>
        <w:rPr>
          <w:rFonts w:ascii="Arial" w:cs="Arial" w:eastAsia="Arial" w:hAnsi="Arial"/>
          <w:sz w:val="22"/>
          <w:szCs w:val="22"/>
        </w:rPr>
        <w:t xml:space="preserve">constitue le moteur de detection des signaux de risque strategique precurseur. Il opere a partir des indicateurs de faiblesse structurelle (WKN) et de menace active (THR) issus du moteur P7I.</w:t>
      </w:r>
    </w:p>
    <w:p>
      <w:pPr>
        <w:spacing w:after="80" w:before="80"/>
      </w:pPr>
    </w:p>
    <w:p>
      <w:pPr>
        <w:spacing w:after="60" w:before="60"/>
      </w:pPr>
      <w:r>
        <w:rPr>
          <w:rFonts w:ascii="Arial" w:cs="Arial" w:eastAsia="Arial" w:hAnsi="Arial"/>
          <w:b/>
          <w:bCs/>
          <w:color w:val="000000"/>
          <w:sz w:val="22"/>
          <w:szCs w:val="22"/>
        </w:rPr>
        <w:t xml:space="preserve">GENECO</w:t>
      </w:r>
      <w:r>
        <w:rPr>
          <w:rFonts w:ascii="Arial" w:cs="Arial" w:eastAsia="Arial" w:hAnsi="Arial"/>
          <w:sz w:val="22"/>
          <w:szCs w:val="22"/>
        </w:rPr>
        <w:t xml:space="preserve"> (Governance and Economy of Conflict) </w:t>
      </w:r>
      <w:r>
        <w:rPr>
          <w:rFonts w:ascii="Arial" w:cs="Arial" w:eastAsia="Arial" w:hAnsi="Arial"/>
          <w:sz w:val="22"/>
          <w:szCs w:val="22"/>
        </w:rPr>
        <w:t xml:space="preserve">constitue le moteur d'intelligence analytique charge d'identifier des configurations compatibles avec une dynamique de destruction economique systemique, en coherence avec la doctrine generale de souverainete de l'OSA. GENECO n'est ni un moteur comptable ni un moteur juridique.</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Doctrine OSA - Separation analytique des moteurs</w:t>
            </w:r>
          </w:p>
        </w:tc>
      </w:tr>
      <w:tr>
        <w:tc>
          <w:tcPr>
            <w:tcW w:type="dxa" w:w="9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i/>
                <w:iCs/>
                <w:sz w:val="22"/>
                <w:szCs w:val="22"/>
              </w:rPr>
              <w:t xml:space="preserve">Les modules analytiques des sprints ulterieurs ont vocation a documenter, mesurer et expliquer les mecanismes economiques sous-jacents a ces signaux.</w:t>
            </w:r>
          </w:p>
        </w:tc>
      </w:tr>
      <w:tr>
        <w:tc>
          <w:tcPr>
            <w:tcW w:type="dxa" w:w="9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bCs/>
                <w:color w:val="1F4E79"/>
                <w:sz w:val="22"/>
                <w:szCs w:val="22"/>
              </w:rPr>
              <w:t xml:space="preserve">Chaine observationnelle fondatrice : </w:t>
            </w:r>
            <w:r>
              <w:rPr>
                <w:rFonts w:ascii="Arial" w:cs="Arial" w:eastAsia="Arial" w:hAnsi="Arial"/>
                <w:sz w:val="22"/>
                <w:szCs w:val="22"/>
              </w:rPr>
              <w:t xml:space="preserve">Observation -&gt; Mesure -&gt; Publication</w:t>
            </w:r>
          </w:p>
        </w:tc>
      </w:tr>
    </w:tbl>
    <w:p>
      <w:pPr>
        <w:spacing w:after="80" w:before="80"/>
      </w:pPr>
    </w:p>
    <w:p>
      <w:pPr>
        <w:pStyle w:val="Heading2"/>
        <w:spacing w:after="80" w:before="240"/>
      </w:pPr>
      <w:r>
        <w:rPr>
          <w:rFonts w:ascii="Arial" w:cs="Arial" w:eastAsia="Arial" w:hAnsi="Arial"/>
          <w:b/>
          <w:bCs/>
          <w:color w:val="1F4E79"/>
          <w:sz w:val="26"/>
          <w:szCs w:val="26"/>
        </w:rPr>
        <w:t xml:space="preserve">1.2 Genese du Sprint 25 - Le probleme de compression de signal</w:t>
      </w:r>
    </w:p>
    <w:p>
      <w:pPr>
        <w:spacing w:after="60" w:before="60"/>
      </w:pPr>
      <w:r>
        <w:rPr>
          <w:rFonts w:ascii="Arial" w:cs="Arial" w:eastAsia="Arial" w:hAnsi="Arial"/>
          <w:sz w:val="22"/>
          <w:szCs w:val="22"/>
        </w:rPr>
        <w:t xml:space="preserve">Le diagnostic GAF finding #20 (STRATEGIC_RISK_SIGNAL_DOMINANCE_GREATEST, ORIENTED) a etabli empiriquement sur n=2 700 observations (2020-2024) :</w:t>
      </w:r>
    </w:p>
    <w:p>
      <w:pPr>
        <w:pStyle w:val="ListParagraph"/>
        <w:numPr>
          <w:ilvl w:val="0"/>
          <w:numId w:val="2"/>
        </w:numPr>
        <w:spacing w:after="40" w:before="40"/>
      </w:pPr>
      <w:r>
        <w:rPr>
          <w:rFonts w:ascii="Arial" w:cs="Arial" w:eastAsia="Arial" w:hAnsi="Arial"/>
          <w:b/>
          <w:bCs/>
          <w:color w:val="000000"/>
          <w:sz w:val="22"/>
          <w:szCs w:val="22"/>
        </w:rPr>
        <w:t xml:space="preserve">Correlation strategic_risk / weakness : </w:t>
      </w:r>
      <w:r>
        <w:rPr>
          <w:rFonts w:ascii="Arial" w:cs="Arial" w:eastAsia="Arial" w:hAnsi="Arial"/>
          <w:sz w:val="22"/>
          <w:szCs w:val="22"/>
        </w:rPr>
        <w:t xml:space="preserve">0.958 - le score AMAR est quasi-redondant avec le score de faiblesse structurelle</w:t>
      </w:r>
    </w:p>
    <w:p>
      <w:pPr>
        <w:pStyle w:val="ListParagraph"/>
        <w:numPr>
          <w:ilvl w:val="0"/>
          <w:numId w:val="2"/>
        </w:numPr>
        <w:spacing w:after="40" w:before="40"/>
      </w:pPr>
      <w:r>
        <w:rPr>
          <w:rFonts w:ascii="Arial" w:cs="Arial" w:eastAsia="Arial" w:hAnsi="Arial"/>
          <w:b/>
          <w:bCs/>
          <w:color w:val="000000"/>
          <w:sz w:val="22"/>
          <w:szCs w:val="22"/>
        </w:rPr>
        <w:t xml:space="preserve">Correlation strategic_risk / threat : </w:t>
      </w:r>
      <w:r>
        <w:rPr>
          <w:rFonts w:ascii="Arial" w:cs="Arial" w:eastAsia="Arial" w:hAnsi="Arial"/>
          <w:sz w:val="22"/>
          <w:szCs w:val="22"/>
        </w:rPr>
        <w:t xml:space="preserve">-0.005 - le signal de menace active est statistiquement invisible dans le score agrege</w:t>
      </w:r>
    </w:p>
    <w:p>
      <w:pPr>
        <w:pStyle w:val="ListParagraph"/>
        <w:numPr>
          <w:ilvl w:val="0"/>
          <w:numId w:val="2"/>
        </w:numPr>
        <w:spacing w:after="40" w:before="40"/>
      </w:pPr>
      <w:r>
        <w:rPr>
          <w:rFonts w:ascii="Arial" w:cs="Arial" w:eastAsia="Arial" w:hAnsi="Arial"/>
          <w:b/>
          <w:bCs/>
          <w:color w:val="000000"/>
          <w:sz w:val="22"/>
          <w:szCs w:val="22"/>
        </w:rPr>
        <w:t xml:space="preserve">Distribution AMAR 2024 : </w:t>
      </w:r>
      <w:r>
        <w:rPr>
          <w:rFonts w:ascii="Arial" w:cs="Arial" w:eastAsia="Arial" w:hAnsi="Arial"/>
          <w:sz w:val="22"/>
          <w:szCs w:val="22"/>
        </w:rPr>
        <w:t xml:space="preserve">52/54 pays en YELLOW, pouvoir discriminant quasi nul</w:t>
      </w:r>
    </w:p>
    <w:p>
      <w:pPr>
        <w:pStyle w:val="ListParagraph"/>
        <w:numPr>
          <w:ilvl w:val="0"/>
          <w:numId w:val="2"/>
        </w:numPr>
        <w:spacing w:after="40" w:before="40"/>
      </w:pPr>
      <w:r>
        <w:rPr>
          <w:rFonts w:ascii="Arial" w:cs="Arial" w:eastAsia="Arial" w:hAnsi="Arial"/>
          <w:b/>
          <w:bCs/>
          <w:color w:val="000000"/>
          <w:sz w:val="22"/>
          <w:szCs w:val="22"/>
        </w:rPr>
        <w:t xml:space="preserve">Cause racine : </w:t>
      </w:r>
      <w:r>
        <w:rPr>
          <w:rFonts w:ascii="Arial" w:cs="Arial" w:eastAsia="Arial" w:hAnsi="Arial"/>
          <w:sz w:val="22"/>
          <w:szCs w:val="22"/>
        </w:rPr>
        <w:t xml:space="preserve">incompatibilite d'echelle entre WKN (mesure de niveau, calibration 0.57-0.92) et THR (mesure de changement, calibration 0.015-0.068)</w:t>
      </w:r>
    </w:p>
    <w:p>
      <w:pPr>
        <w:spacing w:after="80" w:before="80"/>
      </w:pPr>
    </w:p>
    <w:p>
      <w:pPr>
        <w:spacing w:after="60" w:before="60"/>
      </w:pPr>
      <w:r>
        <w:rPr>
          <w:rFonts w:ascii="Arial" w:cs="Arial" w:eastAsia="Arial" w:hAnsi="Arial"/>
          <w:b/>
          <w:bCs/>
          <w:color w:val="000000"/>
          <w:sz w:val="22"/>
          <w:szCs w:val="22"/>
        </w:rPr>
        <w:t xml:space="preserve">Decision du Conseil technique OSA (22 juin 2026) : </w:t>
      </w:r>
      <w:r>
        <w:rPr>
          <w:rFonts w:ascii="Arial" w:cs="Arial" w:eastAsia="Arial" w:hAnsi="Arial"/>
          <w:sz w:val="22"/>
          <w:szCs w:val="22"/>
        </w:rPr>
        <w:t xml:space="preserve">le Strategic Risk Score reste inchange. Un AMAR Trigger Engine independant est cree - court-circuit doctrinal active lorsque THR &gt;= seuil, independamment du score scalaire agrege.</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Principe de separation doctrinale actee</w:t>
            </w:r>
          </w:p>
        </w:tc>
      </w:tr>
      <w:tr>
        <w:tc>
          <w:tcPr>
            <w:tcW w:type="dxa" w:w="9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20" w:before="40"/>
            </w:pPr>
            <w:r>
              <w:rPr>
                <w:rFonts w:ascii="Arial" w:cs="Arial" w:eastAsia="Arial" w:hAnsi="Arial"/>
                <w:b/>
                <w:bCs/>
                <w:color w:val="1F4E79"/>
                <w:sz w:val="22"/>
                <w:szCs w:val="22"/>
              </w:rPr>
              <w:t xml:space="preserve">Strategic Risk Score : </w:t>
            </w:r>
            <w:r>
              <w:rPr>
                <w:rFonts w:ascii="Arial" w:cs="Arial" w:eastAsia="Arial" w:hAnsi="Arial"/>
                <w:sz w:val="22"/>
                <w:szCs w:val="22"/>
              </w:rPr>
              <w:t xml:space="preserve">Diagnostic structurel continu - inchange, historique conserve</w:t>
            </w:r>
          </w:p>
        </w:tc>
      </w:tr>
      <w:tr>
        <w:tc>
          <w:tcPr>
            <w:tcW w:type="dxa" w:w="9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20"/>
            </w:pPr>
            <w:r>
              <w:rPr>
                <w:rFonts w:ascii="Arial" w:cs="Arial" w:eastAsia="Arial" w:hAnsi="Arial"/>
                <w:b/>
                <w:bCs/>
                <w:color w:val="C55A11"/>
                <w:sz w:val="22"/>
                <w:szCs w:val="22"/>
              </w:rPr>
              <w:t xml:space="preserve">THR Trigger Engine : </w:t>
            </w:r>
            <w:r>
              <w:rPr>
                <w:rFonts w:ascii="Arial" w:cs="Arial" w:eastAsia="Arial" w:hAnsi="Arial"/>
                <w:sz w:val="22"/>
                <w:szCs w:val="22"/>
              </w:rPr>
              <w:t xml:space="preserve">Evenement exceptionnel d'alerte - signal independant, court-circuite la formule agregee</w:t>
            </w:r>
          </w:p>
        </w:tc>
      </w:tr>
    </w:tbl>
    <w:p>
      <w:r>
        <w:br w:type="page"/>
      </w:r>
    </w:p>
    <w:p>
      <w:pPr>
        <w:pStyle w:val="Heading1"/>
        <w:spacing w:after="120" w:before="360"/>
      </w:pPr>
      <w:r>
        <w:rPr>
          <w:rFonts w:ascii="Arial" w:cs="Arial" w:eastAsia="Arial" w:hAnsi="Arial"/>
          <w:b/>
          <w:bCs/>
          <w:color w:val="1F4E79"/>
          <w:sz w:val="32"/>
          <w:szCs w:val="32"/>
        </w:rPr>
        <w:t xml:space="preserve">2. Prerequis Sprint 25 - Decisions actees</w:t>
      </w:r>
    </w:p>
    <w:p>
      <w:pPr>
        <w:pBdr>
          <w:bottom w:val="single" w:color="CCCCCC" w:sz="4"/>
        </w:pBdr>
        <w:spacing w:after="120" w:before="120"/>
      </w:pPr>
    </w:p>
    <w:p>
      <w:pPr>
        <w:spacing w:after="60" w:before="60"/>
      </w:pPr>
      <w:r>
        <w:rPr>
          <w:rFonts w:ascii="Arial" w:cs="Arial" w:eastAsia="Arial" w:hAnsi="Arial"/>
          <w:sz w:val="22"/>
          <w:szCs w:val="22"/>
        </w:rPr>
        <w:t xml:space="preserve">Les deux prerequis suivants ont ete tranches par le Conseil technique avant ouverture du sprint. Ils sont integres au present cadrage et ne sont pas remis en question.</w:t>
      </w:r>
    </w:p>
    <w:p>
      <w:pPr>
        <w:spacing w:after="80" w:before="80"/>
      </w:pPr>
    </w:p>
    <w:p>
      <w:pPr>
        <w:pStyle w:val="Heading2"/>
        <w:spacing w:after="80" w:before="240"/>
      </w:pPr>
      <w:r>
        <w:rPr>
          <w:rFonts w:ascii="Arial" w:cs="Arial" w:eastAsia="Arial" w:hAnsi="Arial"/>
          <w:b/>
          <w:bCs/>
          <w:color w:val="1F4E79"/>
          <w:sz w:val="26"/>
          <w:szCs w:val="26"/>
        </w:rPr>
        <w:t xml:space="preserve">2.1 Prerequis 1 - Logique TRIGGER_DIAGNOSTIC_INCOMPLETE</w:t>
      </w:r>
    </w:p>
    <w:p>
      <w:pPr>
        <w:spacing w:after="60" w:before="60"/>
      </w:pPr>
      <w:r>
        <w:rPr>
          <w:rFonts w:ascii="Arial" w:cs="Arial" w:eastAsia="Arial" w:hAnsi="Arial"/>
          <w:b/>
          <w:bCs/>
          <w:color w:val="1F4E79"/>
          <w:sz w:val="22"/>
          <w:szCs w:val="22"/>
        </w:rPr>
        <w:t xml:space="preserve">Option B retenue - Hierarchie conditionnelle.</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6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 actee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Regle</w:t>
            </w:r>
          </w:p>
        </w:tc>
        <w:tc>
          <w:tcPr>
            <w:tcW w:type="dxa" w:w="6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TRIGGER_DIAGNOSTIC_INCOMPLETE s'applique uniquement sous le seuil EXCEPTIONAL (THR &lt; 0.40), lorsque WKN est absent ou que la confiance est nulle.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20"/>
                <w:szCs w:val="20"/>
              </w:rPr>
              <w:t xml:space="preserve">Consequence SDN 2024 PENV</w:t>
            </w:r>
          </w:p>
        </w:tc>
        <w:tc>
          <w:tcPr>
            <w:tcW w:type="dxa" w:w="6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20"/>
                <w:szCs w:val="20"/>
              </w:rPr>
              <w:t xml:space="preserve">THR = 1.000 &gt;= 0.40 =&gt; classification TRIGGER_EXCEPTIONAL maintenue. L'absence de WKN est portee comme attribut qualite (flag wkn_missing = TRUE), non comme filtre d'alerte.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Justification doctrinale</w:t>
            </w:r>
          </w:p>
        </w:tc>
        <w:tc>
          <w:tcPr>
            <w:tcW w:type="dxa" w:w="6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Un signal THR maximal ne doit pas etre rendu invisible par une lacune de donnees structurelles. L'alerte prime ; l'incompletude est documentee, pas silenciee.</w:t>
            </w:r>
          </w:p>
        </w:tc>
      </w:tr>
    </w:tbl>
    <w:p>
      <w:pPr>
        <w:spacing w:after="80" w:before="80"/>
      </w:pPr>
    </w:p>
    <w:p>
      <w:pPr>
        <w:pStyle w:val="Heading2"/>
        <w:spacing w:after="80" w:before="240"/>
      </w:pPr>
      <w:r>
        <w:rPr>
          <w:rFonts w:ascii="Arial" w:cs="Arial" w:eastAsia="Arial" w:hAnsi="Arial"/>
          <w:b/>
          <w:bCs/>
          <w:color w:val="1F4E79"/>
          <w:sz w:val="26"/>
          <w:szCs w:val="26"/>
        </w:rPr>
        <w:t xml:space="preserve">2.2 Prerequis 2 - Seuil THR operationnel</w:t>
      </w:r>
    </w:p>
    <w:p>
      <w:pPr>
        <w:spacing w:after="60" w:before="60"/>
      </w:pPr>
      <w:r>
        <w:rPr>
          <w:rFonts w:ascii="Arial" w:cs="Arial" w:eastAsia="Arial" w:hAnsi="Arial"/>
          <w:b/>
          <w:bCs/>
          <w:color w:val="1F4E79"/>
          <w:sz w:val="22"/>
          <w:szCs w:val="22"/>
        </w:rPr>
        <w:t xml:space="preserve">Seuil 0.20 acte</w:t>
      </w:r>
      <w:r>
        <w:rPr>
          <w:rFonts w:ascii="Arial" w:cs="Arial" w:eastAsia="Arial" w:hAnsi="Arial"/>
          <w:sz w:val="22"/>
          <w:szCs w:val="22"/>
        </w:rPr>
        <w:t xml:space="preserve"> - valide empiriquement par simulation sur ma.v_p7i_risk_source (n=2 700, 2020-2024).</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Parametre</w:t>
            </w:r>
          </w:p>
        </w:tc>
        <w:tc>
          <w:tcPr>
            <w:tcW w:type="dxa" w:w="5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Valeur actee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Seuil de declenchement</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THR &gt;= 0.20</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20"/>
                <w:szCs w:val="20"/>
              </w:rPr>
              <w:t xml:space="preserve">Granularite</w:t>
            </w:r>
          </w:p>
        </w:tc>
        <w:tc>
          <w:tcPr>
            <w:tcW w:type="dxa" w:w="5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20"/>
                <w:szCs w:val="20"/>
              </w:rPr>
              <w:t xml:space="preserve">Pilier-agnostique - un seul pilier suffit a declencher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Perimetre Sprint 25</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Seuil uniforme - pas de ponderation pilier-specifique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20"/>
                <w:szCs w:val="20"/>
              </w:rPr>
              <w:t xml:space="preserve">Report explicite</w:t>
            </w:r>
          </w:p>
        </w:tc>
        <w:tc>
          <w:tcPr>
            <w:tcW w:type="dxa" w:w="5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20"/>
                <w:szCs w:val="20"/>
              </w:rPr>
              <w:t xml:space="preserve">Ponderation pilier-specifique reportee au Sprint 2 Trigger Engine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Volume empirique</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18 triggers sur 5 ans (0,67% des lignes) - volume de revue humaine gerable</w:t>
            </w:r>
          </w:p>
        </w:tc>
      </w:tr>
    </w:tbl>
    <w:p>
      <w:r>
        <w:br w:type="page"/>
      </w:r>
    </w:p>
    <w:p>
      <w:pPr>
        <w:pStyle w:val="Heading1"/>
        <w:spacing w:after="120" w:before="360"/>
      </w:pPr>
      <w:r>
        <w:rPr>
          <w:rFonts w:ascii="Arial" w:cs="Arial" w:eastAsia="Arial" w:hAnsi="Arial"/>
          <w:b/>
          <w:bCs/>
          <w:color w:val="1F4E79"/>
          <w:sz w:val="32"/>
          <w:szCs w:val="32"/>
        </w:rPr>
        <w:t xml:space="preserve">3. Taxonomie Trigger Engine - 4 classes validees</w:t>
      </w:r>
    </w:p>
    <w:p>
      <w:pPr>
        <w:pBdr>
          <w:bottom w:val="single" w:color="CCCCCC" w:sz="4"/>
        </w:pBdr>
        <w:spacing w:after="120" w:before="120"/>
      </w:pPr>
    </w:p>
    <w:p>
      <w:pPr>
        <w:spacing w:after="60" w:before="60"/>
      </w:pPr>
      <w:r>
        <w:rPr>
          <w:rFonts w:ascii="Arial" w:cs="Arial" w:eastAsia="Arial" w:hAnsi="Arial"/>
          <w:sz w:val="22"/>
          <w:szCs w:val="22"/>
        </w:rPr>
        <w:t xml:space="preserve">La taxonomie a 4 classes a ete validee par le Conseil technique OSA. Elle est implementee telle quelle dans Sprint 25.</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026"/>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Classe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Condition THR</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Condition WKN</w:t>
            </w:r>
          </w:p>
        </w:tc>
        <w:tc>
          <w:tcPr>
            <w:tcW w:type="dxa" w:w="4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Semantique</w:t>
            </w:r>
          </w:p>
        </w:tc>
      </w:tr>
      <w:tr>
        <w:tc>
          <w:tcPr>
            <w:tcW w:type="dxa" w:w="2200"/>
            <w:tcBorders>
              <w:top w:val="single" w:color="CCCCCC" w:sz="1"/>
              <w:left w:val="single" w:color="CCCCCC" w:sz="1"/>
              <w:bottom w:val="single" w:color="CCCCCC" w:sz="1"/>
              <w:right w:val="single" w:color="CCCCCC" w:sz="1"/>
            </w:tcBorders>
            <w:shd w:fill="FFE0D0" w:val="clear"/>
            <w:tcMar>
              <w:top w:type="dxa" w:w="60"/>
              <w:left w:type="dxa" w:w="120"/>
              <w:bottom w:type="dxa" w:w="60"/>
              <w:right w:type="dxa" w:w="120"/>
            </w:tcMar>
          </w:tcPr>
          <w:p>
            <w:pPr>
              <w:spacing w:after="30" w:before="30"/>
            </w:pPr>
            <w:r>
              <w:rPr>
                <w:rFonts w:ascii="Arial" w:cs="Arial" w:eastAsia="Arial" w:hAnsi="Arial"/>
                <w:b/>
                <w:bCs/>
                <w:color w:val="843C0C"/>
                <w:sz w:val="19"/>
                <w:szCs w:val="19"/>
              </w:rPr>
              <w:t xml:space="preserve">TRIGGER_EXCEPTIONAL</w:t>
            </w:r>
          </w:p>
        </w:tc>
        <w:tc>
          <w:tcPr>
            <w:tcW w:type="dxa" w:w="1400"/>
            <w:tcBorders>
              <w:top w:val="single" w:color="CCCCCC" w:sz="1"/>
              <w:left w:val="single" w:color="CCCCCC" w:sz="1"/>
              <w:bottom w:val="single" w:color="CCCCCC" w:sz="1"/>
              <w:right w:val="single" w:color="CCCCCC" w:sz="1"/>
            </w:tcBorders>
            <w:shd w:fill="FFE0D0" w:val="clear"/>
            <w:tcMar>
              <w:top w:type="dxa" w:w="60"/>
              <w:left w:type="dxa" w:w="120"/>
              <w:bottom w:type="dxa" w:w="60"/>
              <w:right w:type="dxa" w:w="120"/>
            </w:tcMar>
          </w:tcPr>
          <w:p>
            <w:pPr>
              <w:spacing w:after="30" w:before="30"/>
            </w:pPr>
            <w:r>
              <w:rPr>
                <w:rFonts w:ascii="Arial" w:cs="Arial" w:eastAsia="Arial" w:hAnsi="Arial"/>
                <w:b w:val="false"/>
                <w:bCs w:val="false"/>
                <w:color w:val="000000"/>
                <w:sz w:val="19"/>
                <w:szCs w:val="19"/>
              </w:rPr>
              <w:t xml:space="preserve">THR &gt;= 0.40</w:t>
            </w:r>
          </w:p>
        </w:tc>
        <w:tc>
          <w:tcPr>
            <w:tcW w:type="dxa" w:w="1400"/>
            <w:tcBorders>
              <w:top w:val="single" w:color="CCCCCC" w:sz="1"/>
              <w:left w:val="single" w:color="CCCCCC" w:sz="1"/>
              <w:bottom w:val="single" w:color="CCCCCC" w:sz="1"/>
              <w:right w:val="single" w:color="CCCCCC" w:sz="1"/>
            </w:tcBorders>
            <w:shd w:fill="FFE0D0" w:val="clear"/>
            <w:tcMar>
              <w:top w:type="dxa" w:w="60"/>
              <w:left w:type="dxa" w:w="120"/>
              <w:bottom w:type="dxa" w:w="60"/>
              <w:right w:type="dxa" w:w="120"/>
            </w:tcMar>
          </w:tcPr>
          <w:p>
            <w:pPr>
              <w:spacing w:after="30" w:before="30"/>
            </w:pPr>
            <w:r>
              <w:rPr>
                <w:rFonts w:ascii="Arial" w:cs="Arial" w:eastAsia="Arial" w:hAnsi="Arial"/>
                <w:b w:val="false"/>
                <w:bCs w:val="false"/>
                <w:color w:val="000000"/>
                <w:sz w:val="19"/>
                <w:szCs w:val="19"/>
              </w:rPr>
              <w:t xml:space="preserve">- (independant)</w:t>
            </w:r>
          </w:p>
        </w:tc>
        <w:tc>
          <w:tcPr>
            <w:tcW w:type="dxa" w:w="4026"/>
            <w:tcBorders>
              <w:top w:val="single" w:color="CCCCCC" w:sz="1"/>
              <w:left w:val="single" w:color="CCCCCC" w:sz="1"/>
              <w:bottom w:val="single" w:color="CCCCCC" w:sz="1"/>
              <w:right w:val="single" w:color="CCCCCC" w:sz="1"/>
            </w:tcBorders>
            <w:shd w:fill="FFE0D0" w:val="clear"/>
            <w:tcMar>
              <w:top w:type="dxa" w:w="60"/>
              <w:left w:type="dxa" w:w="120"/>
              <w:bottom w:type="dxa" w:w="60"/>
              <w:right w:type="dxa" w:w="120"/>
            </w:tcMar>
          </w:tcPr>
          <w:p>
            <w:pPr>
              <w:spacing w:after="30" w:before="30"/>
            </w:pPr>
            <w:r>
              <w:rPr>
                <w:rFonts w:ascii="Arial" w:cs="Arial" w:eastAsia="Arial" w:hAnsi="Arial"/>
                <w:b w:val="false"/>
                <w:bCs w:val="false"/>
                <w:color w:val="000000"/>
                <w:sz w:val="19"/>
                <w:szCs w:val="19"/>
              </w:rPr>
              <w:t xml:space="preserve">Signal de menace majeure independant du contexte structurel. WKN manquant n'empeche pas le declenchement.</w:t>
            </w:r>
          </w:p>
        </w:tc>
      </w:tr>
      <w:tr>
        <w:tc>
          <w:tcPr>
            <w:tcW w:type="dxa" w:w="22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spacing w:after="30" w:before="30"/>
            </w:pPr>
            <w:r>
              <w:rPr>
                <w:rFonts w:ascii="Arial" w:cs="Arial" w:eastAsia="Arial" w:hAnsi="Arial"/>
                <w:b/>
                <w:bCs/>
                <w:color w:val="7F6000"/>
                <w:sz w:val="19"/>
                <w:szCs w:val="19"/>
              </w:rPr>
              <w:t xml:space="preserve">TRIGGER_CRITICAL</w:t>
            </w:r>
          </w:p>
        </w:tc>
        <w:tc>
          <w:tcPr>
            <w:tcW w:type="dxa" w:w="14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spacing w:after="30" w:before="30"/>
            </w:pPr>
            <w:r>
              <w:rPr>
                <w:rFonts w:ascii="Arial" w:cs="Arial" w:eastAsia="Arial" w:hAnsi="Arial"/>
                <w:b w:val="false"/>
                <w:bCs w:val="false"/>
                <w:color w:val="000000"/>
                <w:sz w:val="19"/>
                <w:szCs w:val="19"/>
              </w:rPr>
              <w:t xml:space="preserve">THR &gt;= 0.20</w:t>
            </w:r>
          </w:p>
        </w:tc>
        <w:tc>
          <w:tcPr>
            <w:tcW w:type="dxa" w:w="14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spacing w:after="30" w:before="30"/>
            </w:pPr>
            <w:r>
              <w:rPr>
                <w:rFonts w:ascii="Arial" w:cs="Arial" w:eastAsia="Arial" w:hAnsi="Arial"/>
                <w:b w:val="false"/>
                <w:bCs w:val="false"/>
                <w:color w:val="000000"/>
                <w:sz w:val="19"/>
                <w:szCs w:val="19"/>
              </w:rPr>
              <w:t xml:space="preserve">WKN &gt;= 0.70
conf &gt; 0</w:t>
            </w:r>
          </w:p>
        </w:tc>
        <w:tc>
          <w:tcPr>
            <w:tcW w:type="dxa" w:w="4026"/>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spacing w:after="30" w:before="30"/>
            </w:pPr>
            <w:r>
              <w:rPr>
                <w:rFonts w:ascii="Arial" w:cs="Arial" w:eastAsia="Arial" w:hAnsi="Arial"/>
                <w:b w:val="false"/>
                <w:bCs w:val="false"/>
                <w:color w:val="000000"/>
                <w:sz w:val="19"/>
                <w:szCs w:val="19"/>
              </w:rPr>
              <w:t xml:space="preserve">Menace active sur substrat structurel confirme. Situation de risque eleve composite.</w:t>
            </w:r>
          </w:p>
        </w:tc>
      </w:tr>
      <w:tr>
        <w:tc>
          <w:tcPr>
            <w:tcW w:type="dxa" w:w="2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spacing w:after="30" w:before="30"/>
            </w:pPr>
            <w:r>
              <w:rPr>
                <w:rFonts w:ascii="Arial" w:cs="Arial" w:eastAsia="Arial" w:hAnsi="Arial"/>
                <w:b/>
                <w:bCs/>
                <w:color w:val="375623"/>
                <w:sz w:val="19"/>
                <w:szCs w:val="19"/>
              </w:rPr>
              <w:t xml:space="preserve">TRIGGER_ACTIVE</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spacing w:after="30" w:before="30"/>
            </w:pPr>
            <w:r>
              <w:rPr>
                <w:rFonts w:ascii="Arial" w:cs="Arial" w:eastAsia="Arial" w:hAnsi="Arial"/>
                <w:b w:val="false"/>
                <w:bCs w:val="false"/>
                <w:color w:val="000000"/>
                <w:sz w:val="19"/>
                <w:szCs w:val="19"/>
              </w:rPr>
              <w:t xml:space="preserve">THR &gt;= 0.20</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spacing w:after="30" w:before="30"/>
            </w:pPr>
            <w:r>
              <w:rPr>
                <w:rFonts w:ascii="Arial" w:cs="Arial" w:eastAsia="Arial" w:hAnsi="Arial"/>
                <w:b w:val="false"/>
                <w:bCs w:val="false"/>
                <w:color w:val="000000"/>
                <w:sz w:val="19"/>
                <w:szCs w:val="19"/>
              </w:rPr>
              <w:t xml:space="preserve">Autres cas</w:t>
            </w:r>
          </w:p>
        </w:tc>
        <w:tc>
          <w:tcPr>
            <w:tcW w:type="dxa" w:w="4026"/>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spacing w:after="30" w:before="30"/>
            </w:pPr>
            <w:r>
              <w:rPr>
                <w:rFonts w:ascii="Arial" w:cs="Arial" w:eastAsia="Arial" w:hAnsi="Arial"/>
                <w:b w:val="false"/>
                <w:bCs w:val="false"/>
                <w:color w:val="000000"/>
                <w:sz w:val="19"/>
                <w:szCs w:val="19"/>
              </w:rPr>
              <w:t xml:space="preserve">Menace active detectee. Contexte structurel insuffisant ou modere. Revue humaine recommandee.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b/>
                <w:bCs/>
                <w:color w:val="595959"/>
                <w:sz w:val="19"/>
                <w:szCs w:val="19"/>
              </w:rPr>
              <w:t xml:space="preserve">TRIGGER_DIAGNOSTIC_INCOMPLETE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b w:val="false"/>
                <w:bCs w:val="false"/>
                <w:color w:val="000000"/>
                <w:sz w:val="19"/>
                <w:szCs w:val="19"/>
              </w:rPr>
              <w:t xml:space="preserve">0.20 &lt;= THR &lt; 0.40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b w:val="false"/>
                <w:bCs w:val="false"/>
                <w:color w:val="000000"/>
                <w:sz w:val="19"/>
                <w:szCs w:val="19"/>
              </w:rPr>
              <w:t xml:space="preserve">WKN absent
ou conf = 0</w:t>
            </w:r>
          </w:p>
        </w:tc>
        <w:tc>
          <w:tcPr>
            <w:tcW w:type="dxa" w:w="4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b w:val="false"/>
                <w:bCs w:val="false"/>
                <w:color w:val="000000"/>
                <w:sz w:val="19"/>
                <w:szCs w:val="19"/>
              </w:rPr>
              <w:t xml:space="preserve">Alerte technique : signal actif mais donnees structurelles manquantes. Incapacite de qualification complete.</w:t>
            </w:r>
          </w:p>
        </w:tc>
      </w:tr>
    </w:tbl>
    <w:p>
      <w:pPr>
        <w:spacing w:after="80" w:before="80"/>
      </w:pPr>
    </w:p>
    <w:p>
      <w:pPr>
        <w:spacing w:after="60" w:before="60"/>
      </w:pPr>
      <w:r>
        <w:rPr>
          <w:rFonts w:ascii="Arial" w:cs="Arial" w:eastAsia="Arial" w:hAnsi="Arial"/>
          <w:b/>
          <w:bCs/>
          <w:color w:val="000000"/>
          <w:sz w:val="22"/>
          <w:szCs w:val="22"/>
        </w:rPr>
        <w:t xml:space="preserve">Note sur la logique de priorite : </w:t>
      </w:r>
      <w:r>
        <w:rPr>
          <w:rFonts w:ascii="Arial" w:cs="Arial" w:eastAsia="Arial" w:hAnsi="Arial"/>
          <w:sz w:val="22"/>
          <w:szCs w:val="22"/>
        </w:rPr>
        <w:t xml:space="preserve">La verification TRIGGER_EXCEPTIONAL (THR &gt;= 0.40) est evaluee en premier. TRIGGER_DIAGNOSTIC_INCOMPLETE n'est evalue que si 0.20 &lt;= THR &lt; 0.40 (Option B). Un pays peut simultanement etre en classe MONITORING (Strategic Risk Score) ET TRIGGER_ACTIVE (alerte independante) - cf. SDN 2024 : Strategic Risk = 0.376 / MONITORING + THR PENV = 1.000 / TRIGGER_EXCEPTIONAL.</w:t>
      </w:r>
    </w:p>
    <w:p>
      <w:r>
        <w:br w:type="page"/>
      </w:r>
    </w:p>
    <w:p>
      <w:pPr>
        <w:pStyle w:val="Heading1"/>
        <w:spacing w:after="120" w:before="360"/>
      </w:pPr>
      <w:r>
        <w:rPr>
          <w:rFonts w:ascii="Arial" w:cs="Arial" w:eastAsia="Arial" w:hAnsi="Arial"/>
          <w:b/>
          <w:bCs/>
          <w:color w:val="1F4E79"/>
          <w:sz w:val="32"/>
          <w:szCs w:val="32"/>
        </w:rPr>
        <w:t xml:space="preserve">4. Resultats empiriques - Simulation 2020-2024</w:t>
      </w:r>
    </w:p>
    <w:p>
      <w:pPr>
        <w:pBdr>
          <w:bottom w:val="single" w:color="CCCCCC" w:sz="4"/>
        </w:pBd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Metrique</w:t>
            </w:r>
          </w:p>
        </w:tc>
        <w:tc>
          <w:tcPr>
            <w:tcW w:type="dxa" w:w="5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Source</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ma.v_p7i_risk_source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20"/>
                <w:szCs w:val="20"/>
              </w:rPr>
              <w:t xml:space="preserve">Perimetre</w:t>
            </w:r>
          </w:p>
        </w:tc>
        <w:tc>
          <w:tcPr>
            <w:tcW w:type="dxa" w:w="5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20"/>
                <w:szCs w:val="20"/>
              </w:rPr>
              <w:t xml:space="preserve">n = 2 700 (54 pays x 10 piliers x 5 ans)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TRIGGER_EXCEPTIONAL</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2 (0,07%)</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20"/>
                <w:szCs w:val="20"/>
              </w:rPr>
              <w:t xml:space="preserve">TRIGGER_CRITICAL</w:t>
            </w:r>
          </w:p>
        </w:tc>
        <w:tc>
          <w:tcPr>
            <w:tcW w:type="dxa" w:w="5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20"/>
                <w:szCs w:val="20"/>
              </w:rPr>
              <w:t xml:space="preserve">3 (0,11%)</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TRIGGER_ACTIVE</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13 (0,48%)</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20"/>
                <w:szCs w:val="20"/>
              </w:rPr>
              <w:t xml:space="preserve">TRIGGER_DIAGNOSTIC_INCOMPLETE</w:t>
            </w:r>
          </w:p>
        </w:tc>
        <w:tc>
          <w:tcPr>
            <w:tcW w:type="dxa" w:w="5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20"/>
                <w:szCs w:val="20"/>
              </w:rPr>
              <w:t xml:space="preserve">0 (Option B - SDN absorbe par EXCEPTIONAL)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Total triggers</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18 (0,67% des lignes)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20"/>
                <w:szCs w:val="20"/>
              </w:rPr>
              <w:t xml:space="preserve">Distribution annuelle</w:t>
            </w:r>
          </w:p>
        </w:tc>
        <w:tc>
          <w:tcPr>
            <w:tcW w:type="dxa" w:w="5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20"/>
                <w:szCs w:val="20"/>
              </w:rPr>
              <w:t xml:space="preserve">2021 : 5 pays | 2022 : 6 pays | 2023 : 0 pays | 2024 : 7 pays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Piliers declencheurs</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PMIN 10/18 (56%) - PENV 6/18 (33%) - PRES 1/18 - PMON 1/18</w:t>
            </w:r>
          </w:p>
        </w:tc>
      </w:tr>
    </w:tbl>
    <w:p>
      <w:pPr>
        <w:spacing w:after="80" w:before="80"/>
      </w:pPr>
    </w:p>
    <w:p>
      <w:pPr>
        <w:pStyle w:val="Heading2"/>
        <w:spacing w:after="80" w:before="240"/>
      </w:pPr>
      <w:r>
        <w:rPr>
          <w:rFonts w:ascii="Arial" w:cs="Arial" w:eastAsia="Arial" w:hAnsi="Arial"/>
          <w:b/>
          <w:bCs/>
          <w:color w:val="1F4E79"/>
          <w:sz w:val="26"/>
          <w:szCs w:val="26"/>
        </w:rPr>
        <w:t xml:space="preserve">4.1 Detail des triggers EXCEPTIONAL et CRITICAL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600"/>
        <w:gridCol w:w="800"/>
        <w:gridCol w:w="3026"/>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Pays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Pilier</w:t>
            </w:r>
          </w:p>
        </w:tc>
        <w:tc>
          <w:tcPr>
            <w:tcW w:type="dxa" w:w="2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Classe</w:t>
            </w:r>
          </w:p>
        </w:tc>
        <w:tc>
          <w:tcPr>
            <w:tcW w:type="dxa" w:w="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An</w:t>
            </w:r>
          </w:p>
        </w:tc>
        <w:tc>
          <w:tcPr>
            <w:tcW w:type="dxa" w:w="3026"/>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Valeurs cles</w:t>
            </w:r>
          </w:p>
        </w:tc>
      </w:tr>
      <w:tr>
        <w:tc>
          <w:tcPr>
            <w:tcW w:type="dxa" w:w="1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20" w:before="20"/>
            </w:pPr>
            <w:r>
              <w:rPr>
                <w:rFonts w:ascii="Arial" w:cs="Arial" w:eastAsia="Arial" w:hAnsi="Arial"/>
                <w:b w:val="false"/>
                <w:bCs w:val="false"/>
                <w:sz w:val="18"/>
                <w:szCs w:val="18"/>
              </w:rPr>
              <w:t xml:space="preserve">SDN</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20" w:before="20"/>
            </w:pPr>
            <w:r>
              <w:rPr>
                <w:rFonts w:ascii="Arial" w:cs="Arial" w:eastAsia="Arial" w:hAnsi="Arial"/>
                <w:b w:val="false"/>
                <w:bCs w:val="false"/>
                <w:sz w:val="18"/>
                <w:szCs w:val="18"/>
              </w:rPr>
              <w:t xml:space="preserve">PENV</w:t>
            </w:r>
          </w:p>
        </w:tc>
        <w:tc>
          <w:tcPr>
            <w:tcW w:type="dxa" w:w="2600"/>
            <w:tcBorders>
              <w:top w:val="single" w:color="CCCCCC" w:sz="1"/>
              <w:left w:val="single" w:color="CCCCCC" w:sz="1"/>
              <w:bottom w:val="single" w:color="CCCCCC" w:sz="1"/>
              <w:right w:val="single" w:color="CCCCCC" w:sz="1"/>
            </w:tcBorders>
            <w:shd w:fill="FFE0D0" w:val="clear"/>
            <w:tcMar>
              <w:top w:type="dxa" w:w="50"/>
              <w:left w:type="dxa" w:w="100"/>
              <w:bottom w:type="dxa" w:w="50"/>
              <w:right w:type="dxa" w:w="100"/>
            </w:tcMar>
          </w:tcPr>
          <w:p>
            <w:pPr>
              <w:spacing w:after="20" w:before="20"/>
            </w:pPr>
            <w:r>
              <w:rPr>
                <w:rFonts w:ascii="Arial" w:cs="Arial" w:eastAsia="Arial" w:hAnsi="Arial"/>
                <w:b/>
                <w:bCs/>
                <w:sz w:val="18"/>
                <w:szCs w:val="18"/>
              </w:rPr>
              <w:t xml:space="preserve">TRIGGER_EXCEPTIONAL</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20" w:before="20"/>
            </w:pPr>
            <w:r>
              <w:rPr>
                <w:rFonts w:ascii="Arial" w:cs="Arial" w:eastAsia="Arial" w:hAnsi="Arial"/>
                <w:b w:val="false"/>
                <w:bCs w:val="false"/>
                <w:sz w:val="18"/>
                <w:szCs w:val="18"/>
              </w:rPr>
              <w:t xml:space="preserve">2024</w:t>
            </w:r>
          </w:p>
        </w:tc>
        <w:tc>
          <w:tcPr>
            <w:tcW w:type="dxa" w:w="30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20" w:before="20"/>
            </w:pPr>
            <w:r>
              <w:rPr>
                <w:rFonts w:ascii="Arial" w:cs="Arial" w:eastAsia="Arial" w:hAnsi="Arial"/>
                <w:b w:val="false"/>
                <w:bCs w:val="false"/>
                <w:sz w:val="18"/>
                <w:szCs w:val="18"/>
              </w:rPr>
              <w:t xml:space="preserve">THR=1.000 / WKN=NULL =&gt; EXCEPTIONAL (Option B)</w:t>
            </w:r>
          </w:p>
        </w:tc>
      </w:tr>
      <w:tr>
        <w:tc>
          <w:tcPr>
            <w:tcW w:type="dxa" w:w="10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spacing w:after="20" w:before="20"/>
            </w:pPr>
            <w:r>
              <w:rPr>
                <w:rFonts w:ascii="Arial" w:cs="Arial" w:eastAsia="Arial" w:hAnsi="Arial"/>
                <w:b w:val="false"/>
                <w:bCs w:val="false"/>
                <w:sz w:val="18"/>
                <w:szCs w:val="18"/>
              </w:rPr>
              <w:t xml:space="preserve">LBY</w:t>
            </w:r>
          </w:p>
        </w:tc>
        <w:tc>
          <w:tcPr>
            <w:tcW w:type="dxa" w:w="16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spacing w:after="20" w:before="20"/>
            </w:pPr>
            <w:r>
              <w:rPr>
                <w:rFonts w:ascii="Arial" w:cs="Arial" w:eastAsia="Arial" w:hAnsi="Arial"/>
                <w:b w:val="false"/>
                <w:bCs w:val="false"/>
                <w:sz w:val="18"/>
                <w:szCs w:val="18"/>
              </w:rPr>
              <w:t xml:space="preserve">PMIN</w:t>
            </w:r>
          </w:p>
        </w:tc>
        <w:tc>
          <w:tcPr>
            <w:tcW w:type="dxa" w:w="2600"/>
            <w:tcBorders>
              <w:top w:val="single" w:color="CCCCCC" w:sz="1"/>
              <w:left w:val="single" w:color="CCCCCC" w:sz="1"/>
              <w:bottom w:val="single" w:color="CCCCCC" w:sz="1"/>
              <w:right w:val="single" w:color="CCCCCC" w:sz="1"/>
            </w:tcBorders>
            <w:shd w:fill="FFE0D0" w:val="clear"/>
            <w:tcMar>
              <w:top w:type="dxa" w:w="50"/>
              <w:left w:type="dxa" w:w="100"/>
              <w:bottom w:type="dxa" w:w="50"/>
              <w:right w:type="dxa" w:w="100"/>
            </w:tcMar>
          </w:tcPr>
          <w:p>
            <w:pPr>
              <w:spacing w:after="20" w:before="20"/>
            </w:pPr>
            <w:r>
              <w:rPr>
                <w:rFonts w:ascii="Arial" w:cs="Arial" w:eastAsia="Arial" w:hAnsi="Arial"/>
                <w:b/>
                <w:bCs/>
                <w:sz w:val="18"/>
                <w:szCs w:val="18"/>
              </w:rPr>
              <w:t xml:space="preserve">TRIGGER_EXCEPTIONAL</w:t>
            </w:r>
          </w:p>
        </w:tc>
        <w:tc>
          <w:tcPr>
            <w:tcW w:type="dxa" w:w="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spacing w:after="20" w:before="20"/>
            </w:pPr>
            <w:r>
              <w:rPr>
                <w:rFonts w:ascii="Arial" w:cs="Arial" w:eastAsia="Arial" w:hAnsi="Arial"/>
                <w:b w:val="false"/>
                <w:bCs w:val="false"/>
                <w:sz w:val="18"/>
                <w:szCs w:val="18"/>
              </w:rPr>
              <w:t xml:space="preserve">2021</w:t>
            </w:r>
          </w:p>
        </w:tc>
        <w:tc>
          <w:tcPr>
            <w:tcW w:type="dxa" w:w="30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spacing w:after="20" w:before="20"/>
            </w:pPr>
            <w:r>
              <w:rPr>
                <w:rFonts w:ascii="Arial" w:cs="Arial" w:eastAsia="Arial" w:hAnsi="Arial"/>
                <w:b w:val="false"/>
                <w:bCs w:val="false"/>
                <w:sz w:val="18"/>
                <w:szCs w:val="18"/>
              </w:rPr>
              <w:t xml:space="preserve">THR=0.424</w:t>
            </w:r>
          </w:p>
        </w:tc>
      </w:tr>
      <w:tr>
        <w:tc>
          <w:tcPr>
            <w:tcW w:type="dxa" w:w="1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20" w:before="20"/>
            </w:pPr>
            <w:r>
              <w:rPr>
                <w:rFonts w:ascii="Arial" w:cs="Arial" w:eastAsia="Arial" w:hAnsi="Arial"/>
                <w:b w:val="false"/>
                <w:bCs w:val="false"/>
                <w:sz w:val="18"/>
                <w:szCs w:val="18"/>
              </w:rPr>
              <w:t xml:space="preserve">ETH</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20" w:before="20"/>
            </w:pPr>
            <w:r>
              <w:rPr>
                <w:rFonts w:ascii="Arial" w:cs="Arial" w:eastAsia="Arial" w:hAnsi="Arial"/>
                <w:b w:val="false"/>
                <w:bCs w:val="false"/>
                <w:sz w:val="18"/>
                <w:szCs w:val="18"/>
              </w:rPr>
              <w:t xml:space="preserve">PENV</w:t>
            </w:r>
          </w:p>
        </w:tc>
        <w:tc>
          <w:tcPr>
            <w:tcW w:type="dxa" w:w="2600"/>
            <w:tcBorders>
              <w:top w:val="single" w:color="CCCCCC" w:sz="1"/>
              <w:left w:val="single" w:color="CCCCCC" w:sz="1"/>
              <w:bottom w:val="single" w:color="CCCCCC" w:sz="1"/>
              <w:right w:val="single" w:color="CCCCCC" w:sz="1"/>
            </w:tcBorders>
            <w:shd w:fill="FFF2CC" w:val="clear"/>
            <w:tcMar>
              <w:top w:type="dxa" w:w="50"/>
              <w:left w:type="dxa" w:w="100"/>
              <w:bottom w:type="dxa" w:w="50"/>
              <w:right w:type="dxa" w:w="100"/>
            </w:tcMar>
          </w:tcPr>
          <w:p>
            <w:pPr>
              <w:spacing w:after="20" w:before="20"/>
            </w:pPr>
            <w:r>
              <w:rPr>
                <w:rFonts w:ascii="Arial" w:cs="Arial" w:eastAsia="Arial" w:hAnsi="Arial"/>
                <w:b/>
                <w:bCs/>
                <w:sz w:val="18"/>
                <w:szCs w:val="18"/>
              </w:rPr>
              <w:t xml:space="preserve">TRIGGER_CRITICAL</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20" w:before="20"/>
            </w:pPr>
            <w:r>
              <w:rPr>
                <w:rFonts w:ascii="Arial" w:cs="Arial" w:eastAsia="Arial" w:hAnsi="Arial"/>
                <w:b w:val="false"/>
                <w:bCs w:val="false"/>
                <w:sz w:val="18"/>
                <w:szCs w:val="18"/>
              </w:rPr>
              <w:t xml:space="preserve">2021</w:t>
            </w:r>
          </w:p>
        </w:tc>
        <w:tc>
          <w:tcPr>
            <w:tcW w:type="dxa" w:w="30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20" w:before="20"/>
            </w:pPr>
            <w:r>
              <w:rPr>
                <w:rFonts w:ascii="Arial" w:cs="Arial" w:eastAsia="Arial" w:hAnsi="Arial"/>
                <w:b w:val="false"/>
                <w:bCs w:val="false"/>
                <w:sz w:val="18"/>
                <w:szCs w:val="18"/>
              </w:rPr>
              <w:t xml:space="preserve">THR=0.21, WKN=0.88, conf&gt;0</w:t>
            </w:r>
          </w:p>
        </w:tc>
      </w:tr>
      <w:tr>
        <w:tc>
          <w:tcPr>
            <w:tcW w:type="dxa" w:w="10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spacing w:after="20" w:before="20"/>
            </w:pPr>
            <w:r>
              <w:rPr>
                <w:rFonts w:ascii="Arial" w:cs="Arial" w:eastAsia="Arial" w:hAnsi="Arial"/>
                <w:b w:val="false"/>
                <w:bCs w:val="false"/>
                <w:sz w:val="18"/>
                <w:szCs w:val="18"/>
              </w:rPr>
              <w:t xml:space="preserve">LSO</w:t>
            </w:r>
          </w:p>
        </w:tc>
        <w:tc>
          <w:tcPr>
            <w:tcW w:type="dxa" w:w="16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spacing w:after="20" w:before="20"/>
            </w:pPr>
            <w:r>
              <w:rPr>
                <w:rFonts w:ascii="Arial" w:cs="Arial" w:eastAsia="Arial" w:hAnsi="Arial"/>
                <w:b w:val="false"/>
                <w:bCs w:val="false"/>
                <w:sz w:val="18"/>
                <w:szCs w:val="18"/>
              </w:rPr>
              <w:t xml:space="preserve">PENV</w:t>
            </w:r>
          </w:p>
        </w:tc>
        <w:tc>
          <w:tcPr>
            <w:tcW w:type="dxa" w:w="2600"/>
            <w:tcBorders>
              <w:top w:val="single" w:color="CCCCCC" w:sz="1"/>
              <w:left w:val="single" w:color="CCCCCC" w:sz="1"/>
              <w:bottom w:val="single" w:color="CCCCCC" w:sz="1"/>
              <w:right w:val="single" w:color="CCCCCC" w:sz="1"/>
            </w:tcBorders>
            <w:shd w:fill="FFF2CC" w:val="clear"/>
            <w:tcMar>
              <w:top w:type="dxa" w:w="50"/>
              <w:left w:type="dxa" w:w="100"/>
              <w:bottom w:type="dxa" w:w="50"/>
              <w:right w:type="dxa" w:w="100"/>
            </w:tcMar>
          </w:tcPr>
          <w:p>
            <w:pPr>
              <w:spacing w:after="20" w:before="20"/>
            </w:pPr>
            <w:r>
              <w:rPr>
                <w:rFonts w:ascii="Arial" w:cs="Arial" w:eastAsia="Arial" w:hAnsi="Arial"/>
                <w:b/>
                <w:bCs/>
                <w:sz w:val="18"/>
                <w:szCs w:val="18"/>
              </w:rPr>
              <w:t xml:space="preserve">TRIGGER_CRITICAL</w:t>
            </w:r>
          </w:p>
        </w:tc>
        <w:tc>
          <w:tcPr>
            <w:tcW w:type="dxa" w:w="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spacing w:after="20" w:before="20"/>
            </w:pPr>
            <w:r>
              <w:rPr>
                <w:rFonts w:ascii="Arial" w:cs="Arial" w:eastAsia="Arial" w:hAnsi="Arial"/>
                <w:b w:val="false"/>
                <w:bCs w:val="false"/>
                <w:sz w:val="18"/>
                <w:szCs w:val="18"/>
              </w:rPr>
              <w:t xml:space="preserve">2022</w:t>
            </w:r>
          </w:p>
        </w:tc>
        <w:tc>
          <w:tcPr>
            <w:tcW w:type="dxa" w:w="30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spacing w:after="20" w:before="20"/>
            </w:pPr>
            <w:r>
              <w:rPr>
                <w:rFonts w:ascii="Arial" w:cs="Arial" w:eastAsia="Arial" w:hAnsi="Arial"/>
                <w:b w:val="false"/>
                <w:bCs w:val="false"/>
                <w:sz w:val="18"/>
                <w:szCs w:val="18"/>
              </w:rPr>
              <w:t xml:space="preserve">THR=0.23, WKN=0.81, conf&gt;0</w:t>
            </w:r>
          </w:p>
        </w:tc>
      </w:tr>
      <w:tr>
        <w:tc>
          <w:tcPr>
            <w:tcW w:type="dxa" w:w="1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20" w:before="20"/>
            </w:pPr>
            <w:r>
              <w:rPr>
                <w:rFonts w:ascii="Arial" w:cs="Arial" w:eastAsia="Arial" w:hAnsi="Arial"/>
                <w:b w:val="false"/>
                <w:bCs w:val="false"/>
                <w:sz w:val="18"/>
                <w:szCs w:val="18"/>
              </w:rPr>
              <w:t xml:space="preserve">ETH</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20" w:before="20"/>
            </w:pPr>
            <w:r>
              <w:rPr>
                <w:rFonts w:ascii="Arial" w:cs="Arial" w:eastAsia="Arial" w:hAnsi="Arial"/>
                <w:b w:val="false"/>
                <w:bCs w:val="false"/>
                <w:sz w:val="18"/>
                <w:szCs w:val="18"/>
              </w:rPr>
              <w:t xml:space="preserve">PMON</w:t>
            </w:r>
          </w:p>
        </w:tc>
        <w:tc>
          <w:tcPr>
            <w:tcW w:type="dxa" w:w="2600"/>
            <w:tcBorders>
              <w:top w:val="single" w:color="CCCCCC" w:sz="1"/>
              <w:left w:val="single" w:color="CCCCCC" w:sz="1"/>
              <w:bottom w:val="single" w:color="CCCCCC" w:sz="1"/>
              <w:right w:val="single" w:color="CCCCCC" w:sz="1"/>
            </w:tcBorders>
            <w:shd w:fill="FFF2CC" w:val="clear"/>
            <w:tcMar>
              <w:top w:type="dxa" w:w="50"/>
              <w:left w:type="dxa" w:w="100"/>
              <w:bottom w:type="dxa" w:w="50"/>
              <w:right w:type="dxa" w:w="100"/>
            </w:tcMar>
          </w:tcPr>
          <w:p>
            <w:pPr>
              <w:spacing w:after="20" w:before="20"/>
            </w:pPr>
            <w:r>
              <w:rPr>
                <w:rFonts w:ascii="Arial" w:cs="Arial" w:eastAsia="Arial" w:hAnsi="Arial"/>
                <w:b/>
                <w:bCs/>
                <w:sz w:val="18"/>
                <w:szCs w:val="18"/>
              </w:rPr>
              <w:t xml:space="preserve">TRIGGER_CRITICAL</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20" w:before="20"/>
            </w:pPr>
            <w:r>
              <w:rPr>
                <w:rFonts w:ascii="Arial" w:cs="Arial" w:eastAsia="Arial" w:hAnsi="Arial"/>
                <w:b w:val="false"/>
                <w:bCs w:val="false"/>
                <w:sz w:val="18"/>
                <w:szCs w:val="18"/>
              </w:rPr>
              <w:t xml:space="preserve">2022</w:t>
            </w:r>
          </w:p>
        </w:tc>
        <w:tc>
          <w:tcPr>
            <w:tcW w:type="dxa" w:w="30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20" w:before="20"/>
            </w:pPr>
            <w:r>
              <w:rPr>
                <w:rFonts w:ascii="Arial" w:cs="Arial" w:eastAsia="Arial" w:hAnsi="Arial"/>
                <w:b w:val="false"/>
                <w:bCs w:val="false"/>
                <w:sz w:val="18"/>
                <w:szCs w:val="18"/>
              </w:rPr>
              <w:t xml:space="preserve">THR=0.22, WKN=0.79, conf&gt;0</w:t>
            </w:r>
          </w:p>
        </w:tc>
      </w:tr>
      <w:tr>
        <w:tc>
          <w:tcPr>
            <w:tcW w:type="dxa" w:w="10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spacing w:after="20" w:before="20"/>
            </w:pPr>
            <w:r>
              <w:rPr>
                <w:rFonts w:ascii="Arial" w:cs="Arial" w:eastAsia="Arial" w:hAnsi="Arial"/>
                <w:b w:val="false"/>
                <w:bCs w:val="false"/>
                <w:sz w:val="18"/>
                <w:szCs w:val="18"/>
              </w:rPr>
              <w:t xml:space="preserve">COG/GHA/SLE/...</w:t>
            </w:r>
          </w:p>
        </w:tc>
        <w:tc>
          <w:tcPr>
            <w:tcW w:type="dxa" w:w="16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spacing w:after="20" w:before="20"/>
            </w:pPr>
            <w:r>
              <w:rPr>
                <w:rFonts w:ascii="Arial" w:cs="Arial" w:eastAsia="Arial" w:hAnsi="Arial"/>
                <w:b w:val="false"/>
                <w:bCs w:val="false"/>
                <w:sz w:val="18"/>
                <w:szCs w:val="18"/>
              </w:rPr>
              <w:t xml:space="preserve">PMIN/PENV</w:t>
            </w:r>
          </w:p>
        </w:tc>
        <w:tc>
          <w:tcPr>
            <w:tcW w:type="dxa" w:w="2600"/>
            <w:tcBorders>
              <w:top w:val="single" w:color="CCCCCC" w:sz="1"/>
              <w:left w:val="single" w:color="CCCCCC" w:sz="1"/>
              <w:bottom w:val="single" w:color="CCCCCC" w:sz="1"/>
              <w:right w:val="single" w:color="CCCCCC" w:sz="1"/>
            </w:tcBorders>
            <w:shd w:fill="E2EFDA" w:val="clear"/>
            <w:tcMar>
              <w:top w:type="dxa" w:w="50"/>
              <w:left w:type="dxa" w:w="100"/>
              <w:bottom w:type="dxa" w:w="50"/>
              <w:right w:type="dxa" w:w="100"/>
            </w:tcMar>
          </w:tcPr>
          <w:p>
            <w:pPr>
              <w:spacing w:after="20" w:before="20"/>
            </w:pPr>
            <w:r>
              <w:rPr>
                <w:rFonts w:ascii="Arial" w:cs="Arial" w:eastAsia="Arial" w:hAnsi="Arial"/>
                <w:b/>
                <w:bCs/>
                <w:sz w:val="18"/>
                <w:szCs w:val="18"/>
              </w:rPr>
              <w:t xml:space="preserve">TRIGGER_ACTIVE (x13)</w:t>
            </w:r>
          </w:p>
        </w:tc>
        <w:tc>
          <w:tcPr>
            <w:tcW w:type="dxa" w:w="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spacing w:after="20" w:before="20"/>
            </w:pPr>
            <w:r>
              <w:rPr>
                <w:rFonts w:ascii="Arial" w:cs="Arial" w:eastAsia="Arial" w:hAnsi="Arial"/>
                <w:b w:val="false"/>
                <w:bCs w:val="false"/>
                <w:sz w:val="18"/>
                <w:szCs w:val="18"/>
              </w:rPr>
              <w:t xml:space="preserve">2021-2024</w:t>
            </w:r>
          </w:p>
        </w:tc>
        <w:tc>
          <w:tcPr>
            <w:tcW w:type="dxa" w:w="3026"/>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spacing w:after="20" w:before="20"/>
            </w:pPr>
            <w:r>
              <w:rPr>
                <w:rFonts w:ascii="Arial" w:cs="Arial" w:eastAsia="Arial" w:hAnsi="Arial"/>
                <w:b w:val="false"/>
                <w:bCs w:val="false"/>
                <w:sz w:val="18"/>
                <w:szCs w:val="18"/>
              </w:rPr>
              <w:t xml:space="preserve">THR &gt;= 0.20, conditions CRITICAL non reunies</w:t>
            </w:r>
          </w:p>
        </w:tc>
      </w:tr>
    </w:tbl>
    <w:p>
      <w:pPr>
        <w:spacing w:after="80" w:before="80"/>
      </w:pPr>
    </w:p>
    <w:p>
      <w:pPr>
        <w:pStyle w:val="Heading2"/>
        <w:spacing w:after="80" w:before="240"/>
      </w:pPr>
      <w:r>
        <w:rPr>
          <w:rFonts w:ascii="Arial" w:cs="Arial" w:eastAsia="Arial" w:hAnsi="Arial"/>
          <w:b/>
          <w:bCs/>
          <w:color w:val="1F4E79"/>
          <w:sz w:val="26"/>
          <w:szCs w:val="26"/>
        </w:rPr>
        <w:t xml:space="preserve">4.2 Observation doctrinale - Absence 2023</w:t>
      </w:r>
    </w:p>
    <w:p>
      <w:pPr>
        <w:spacing w:after="60" w:before="60"/>
      </w:pPr>
      <w:r>
        <w:rPr>
          <w:rFonts w:ascii="Arial" w:cs="Arial" w:eastAsia="Arial" w:hAnsi="Arial"/>
          <w:sz w:val="22"/>
          <w:szCs w:val="22"/>
        </w:rPr>
        <w:t xml:space="preserve">L'absence de declenchements en 2023 est notable compte tenu du debut de la guerre civile au Soudan en avril 2023. </w:t>
      </w:r>
      <w:r>
        <w:rPr>
          <w:rFonts w:ascii="Arial" w:cs="Arial" w:eastAsia="Arial" w:hAnsi="Arial"/>
          <w:b/>
          <w:bCs/>
          <w:color w:val="000000"/>
          <w:sz w:val="22"/>
          <w:szCs w:val="22"/>
        </w:rPr>
        <w:t xml:space="preserve">Action Lot B : </w:t>
      </w:r>
      <w:r>
        <w:rPr>
          <w:rFonts w:ascii="Arial" w:cs="Arial" w:eastAsia="Arial" w:hAnsi="Arial"/>
          <w:sz w:val="22"/>
          <w:szCs w:val="22"/>
        </w:rPr>
        <w:t xml:space="preserve">verifier les donnees THR 2023 pour SDN dans le pipeline ACLED. Point ouvert documente, investigation post-Sprint 25.</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Exemple dual-state doctrinal : SDN 2024</w:t>
            </w:r>
          </w:p>
        </w:tc>
      </w:tr>
      <w:tr>
        <w:tc>
          <w:tcPr>
            <w:tcW w:type="dxa" w:w="9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20" w:before="40"/>
            </w:pPr>
            <w:r>
              <w:rPr>
                <w:rFonts w:ascii="Arial" w:cs="Arial" w:eastAsia="Arial" w:hAnsi="Arial"/>
                <w:b/>
                <w:bCs/>
                <w:color w:val="1F4E79"/>
                <w:sz w:val="22"/>
                <w:szCs w:val="22"/>
              </w:rPr>
              <w:t xml:space="preserve">Strategic Risk Score : </w:t>
            </w:r>
            <w:r>
              <w:rPr>
                <w:rFonts w:ascii="Arial" w:cs="Arial" w:eastAsia="Arial" w:hAnsi="Arial"/>
                <w:sz w:val="22"/>
                <w:szCs w:val="22"/>
              </w:rPr>
              <w:t xml:space="preserve">0.376 =&gt; classe MONITORING (score scalaire AMAR inchange)</w:t>
            </w:r>
          </w:p>
        </w:tc>
      </w:tr>
      <w:tr>
        <w:tc>
          <w:tcPr>
            <w:tcW w:type="dxa" w:w="9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20" w:before="20"/>
            </w:pPr>
            <w:r>
              <w:rPr>
                <w:rFonts w:ascii="Arial" w:cs="Arial" w:eastAsia="Arial" w:hAnsi="Arial"/>
                <w:b/>
                <w:bCs/>
                <w:color w:val="C55A11"/>
                <w:sz w:val="22"/>
                <w:szCs w:val="22"/>
              </w:rPr>
              <w:t xml:space="preserve">THR Trigger PENV : </w:t>
            </w:r>
            <w:r>
              <w:rPr>
                <w:rFonts w:ascii="Arial" w:cs="Arial" w:eastAsia="Arial" w:hAnsi="Arial"/>
                <w:sz w:val="22"/>
                <w:szCs w:val="22"/>
              </w:rPr>
              <w:t xml:space="preserve">1.000 =&gt; TRIGGER_EXCEPTIONAL (signal independant, court-circuit)</w:t>
            </w:r>
          </w:p>
        </w:tc>
      </w:tr>
      <w:tr>
        <w:tc>
          <w:tcPr>
            <w:tcW w:type="dxa" w:w="9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20"/>
            </w:pPr>
            <w:r>
              <w:rPr>
                <w:rFonts w:ascii="Arial" w:cs="Arial" w:eastAsia="Arial" w:hAnsi="Arial"/>
                <w:sz w:val="22"/>
                <w:szCs w:val="22"/>
              </w:rPr>
              <w:t xml:space="preserve">Ce qui etait un signal invisible dans le score scalaire devient une alerte explicite sans alterer le score. Illustration directe du principe de separation doctrinale.</w:t>
            </w:r>
          </w:p>
        </w:tc>
      </w:tr>
    </w:tbl>
    <w:p>
      <w:r>
        <w:br w:type="page"/>
      </w:r>
    </w:p>
    <w:p>
      <w:pPr>
        <w:pStyle w:val="Heading1"/>
        <w:spacing w:after="120" w:before="360"/>
      </w:pPr>
      <w:r>
        <w:rPr>
          <w:rFonts w:ascii="Arial" w:cs="Arial" w:eastAsia="Arial" w:hAnsi="Arial"/>
          <w:b/>
          <w:bCs/>
          <w:color w:val="1F4E79"/>
          <w:sz w:val="32"/>
          <w:szCs w:val="32"/>
        </w:rPr>
        <w:t xml:space="preserve">5. Architecture technique cible</w:t>
      </w:r>
    </w:p>
    <w:p>
      <w:pPr>
        <w:pBdr>
          <w:bottom w:val="single" w:color="CCCCCC" w:sz="4"/>
        </w:pBdr>
        <w:spacing w:after="120" w:before="120"/>
      </w:pPr>
    </w:p>
    <w:p>
      <w:pPr>
        <w:pStyle w:val="Heading2"/>
        <w:spacing w:after="80" w:before="240"/>
      </w:pPr>
      <w:r>
        <w:rPr>
          <w:rFonts w:ascii="Arial" w:cs="Arial" w:eastAsia="Arial" w:hAnsi="Arial"/>
          <w:b/>
          <w:bCs/>
          <w:color w:val="1F4E79"/>
          <w:sz w:val="26"/>
          <w:szCs w:val="26"/>
        </w:rPr>
        <w:t xml:space="preserve">5.1 Schema cible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Objet</w:t>
            </w:r>
          </w:p>
        </w:tc>
        <w:tc>
          <w:tcPr>
            <w:tcW w:type="dxa" w:w="6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Table</w:t>
            </w:r>
          </w:p>
        </w:tc>
        <w:tc>
          <w:tcPr>
            <w:tcW w:type="dxa" w:w="6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pub.amar_triggers
=&gt; country_iso3, year, pillar_code, trigger_class, thr_score, wkn_score, wkn_confidence, wkn_missing (bool), computed_at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20"/>
                <w:szCs w:val="20"/>
              </w:rPr>
              <w:t xml:space="preserve">Vue</w:t>
            </w:r>
          </w:p>
        </w:tc>
        <w:tc>
          <w:tcPr>
            <w:tcW w:type="dxa" w:w="6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20"/>
                <w:szCs w:val="20"/>
              </w:rPr>
              <w:t xml:space="preserve">pub.v_amar_trigger_log
=&gt; vue de lecture enrichie avec contexte pays / libelles piliers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Fonction</w:t>
            </w:r>
          </w:p>
        </w:tc>
        <w:tc>
          <w:tcPr>
            <w:tcW w:type="dxa" w:w="6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trigger_classify(thr FLOAT, wkn FLOAT, conf FLOAT) -&gt; trigger_class
=&gt; Implemente la logique Option B, reutilisable par GENECO v1</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20"/>
                <w:szCs w:val="20"/>
              </w:rPr>
              <w:t xml:space="preserve">Endpoint API</w:t>
            </w:r>
          </w:p>
        </w:tc>
        <w:tc>
          <w:tcPr>
            <w:tcW w:type="dxa" w:w="6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20"/>
                <w:szCs w:val="20"/>
              </w:rPr>
              <w:t xml:space="preserve">GET /v2/amar/triggers
=&gt; Parametres : country (opt.), year (opt.), pillar (opt.), class (opt.)
=&gt; Reponse : liste paginee, format OAS 3.1</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Portal</w:t>
            </w:r>
          </w:p>
        </w:tc>
        <w:tc>
          <w:tcPr>
            <w:tcW w:type="dxa" w:w="6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open.osa-observatory.africa
=&gt; Integration onglet AMAR - section Trigger Alerts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20"/>
                <w:szCs w:val="20"/>
              </w:rPr>
              <w:t xml:space="preserve">Backfill</w:t>
            </w:r>
          </w:p>
        </w:tc>
        <w:tc>
          <w:tcPr>
            <w:tcW w:type="dxa" w:w="6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20"/>
                <w:szCs w:val="20"/>
              </w:rPr>
              <w:t xml:space="preserve">18 lignes simulation 2020-2024 chargees dans pub.amar_triggers a Lot B</w:t>
            </w:r>
          </w:p>
        </w:tc>
      </w:tr>
    </w:tbl>
    <w:p>
      <w:pPr>
        <w:spacing w:after="80" w:before="80"/>
      </w:pPr>
    </w:p>
    <w:p>
      <w:pPr>
        <w:pStyle w:val="Heading2"/>
        <w:spacing w:after="80" w:before="240"/>
      </w:pPr>
      <w:r>
        <w:rPr>
          <w:rFonts w:ascii="Arial" w:cs="Arial" w:eastAsia="Arial" w:hAnsi="Arial"/>
          <w:b/>
          <w:bCs/>
          <w:color w:val="1F4E79"/>
          <w:sz w:val="26"/>
          <w:szCs w:val="26"/>
        </w:rPr>
        <w:t xml:space="preserve">5.2 Relation AMAR / GENECO Trigger Engine</w:t>
      </w:r>
    </w:p>
    <w:p>
      <w:pPr>
        <w:spacing w:after="60" w:before="60"/>
      </w:pPr>
      <w:r>
        <w:rPr>
          <w:rFonts w:ascii="Arial" w:cs="Arial" w:eastAsia="Arial" w:hAnsi="Arial"/>
          <w:sz w:val="22"/>
          <w:szCs w:val="22"/>
        </w:rPr>
        <w:t xml:space="preserve">GENECO v1 (moteur derive P7I) peut reutiliser la fonction trigger_classify() depuis la source commune ma.v_p7i_risk_source avec des piliers-cibles distincts. Cette architecture est applicable par deduction.</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22"/>
                <w:szCs w:val="22"/>
              </w:rPr>
              <w:t xml:space="preserve">Condition de re-architecture GENECO Trigger</w:t>
            </w:r>
          </w:p>
        </w:tc>
      </w:tr>
      <w:tr>
        <w:tc>
          <w:tcPr>
            <w:tcW w:type="dxa" w:w="9026"/>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before="40"/>
            </w:pPr>
            <w:r>
              <w:rPr>
                <w:rFonts w:ascii="Arial" w:cs="Arial" w:eastAsia="Arial" w:hAnsi="Arial"/>
                <w:sz w:val="22"/>
                <w:szCs w:val="22"/>
              </w:rPr>
              <w:t xml:space="preserve">Si GENECO evolue vers un moteur autonome (v2/v3 - finding #22), le Trigger Engine GENECO est a re-concevoir entierement depuis de nouvelles sources d'observation des mecanismes economiques de conflit. Condition documentee dans ops.audit_findings #21 (OPEN).</w:t>
            </w:r>
          </w:p>
        </w:tc>
      </w:tr>
    </w:tbl>
    <w:p>
      <w:r>
        <w:br w:type="page"/>
      </w:r>
    </w:p>
    <w:p>
      <w:pPr>
        <w:pStyle w:val="Heading1"/>
        <w:spacing w:after="120" w:before="360"/>
      </w:pPr>
      <w:r>
        <w:rPr>
          <w:rFonts w:ascii="Arial" w:cs="Arial" w:eastAsia="Arial" w:hAnsi="Arial"/>
          <w:b/>
          <w:bCs/>
          <w:color w:val="1F4E79"/>
          <w:sz w:val="32"/>
          <w:szCs w:val="32"/>
        </w:rPr>
        <w:t xml:space="preserve">6. Plan d'execution - Lots Sprint 25</w:t>
      </w:r>
    </w:p>
    <w:p>
      <w:pPr>
        <w:pBdr>
          <w:bottom w:val="single" w:color="CCCCCC" w:sz="4"/>
        </w:pBd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1400"/>
        <w:gridCol w:w="3226"/>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Objet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Duree est.</w:t>
            </w:r>
          </w:p>
        </w:tc>
        <w:tc>
          <w:tcPr>
            <w:tcW w:type="dxa" w:w="3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Dependances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b/>
                <w:bCs/>
                <w:sz w:val="20"/>
                <w:szCs w:val="20"/>
              </w:rPr>
              <w:t xml:space="preserve">Lot A - SQL/Schema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b w:val="false"/>
                <w:bCs w:val="false"/>
                <w:sz w:val="20"/>
                <w:szCs w:val="20"/>
              </w:rPr>
              <w:t xml:space="preserve">Table pub.amar_triggers. Vue pub.v_amar_trigger_log. Fonction trigger_classify().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b w:val="false"/>
                <w:bCs w:val="false"/>
                <w:sz w:val="20"/>
                <w:szCs w:val="20"/>
              </w:rPr>
              <w:t xml:space="preserve">1 session</w:t>
            </w:r>
          </w:p>
        </w:tc>
        <w:tc>
          <w:tcPr>
            <w:tcW w:type="dxa" w:w="3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b w:val="false"/>
                <w:bCs w:val="false"/>
                <w:sz w:val="20"/>
                <w:szCs w:val="20"/>
              </w:rPr>
              <w:t xml:space="preserve">ops.audit_findings #20 acte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b/>
                <w:bCs/>
                <w:sz w:val="20"/>
                <w:szCs w:val="20"/>
              </w:rPr>
              <w:t xml:space="preserve">Lot B - Moteur/Logique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b w:val="false"/>
                <w:bCs w:val="false"/>
                <w:sz w:val="20"/>
                <w:szCs w:val="20"/>
              </w:rPr>
              <w:t xml:space="preserve">Backfill simulation 2020-2024. Logique Option B (INCOMPLETE conditionnel). Investigation anomalie SDN/COD WKN NULL.</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b w:val="false"/>
                <w:bCs w:val="false"/>
                <w:sz w:val="20"/>
                <w:szCs w:val="20"/>
              </w:rPr>
              <w:t xml:space="preserve">1 session</w:t>
            </w:r>
          </w:p>
        </w:tc>
        <w:tc>
          <w:tcPr>
            <w:tcW w:type="dxa" w:w="3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b w:val="false"/>
                <w:bCs w:val="false"/>
                <w:sz w:val="20"/>
                <w:szCs w:val="20"/>
              </w:rPr>
              <w:t xml:space="preserve">Lot A finalise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b/>
                <w:bCs/>
                <w:sz w:val="20"/>
                <w:szCs w:val="20"/>
              </w:rPr>
              <w:t xml:space="preserve">Lot C - API/Publication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b w:val="false"/>
                <w:bCs w:val="false"/>
                <w:sz w:val="20"/>
                <w:szCs w:val="20"/>
              </w:rPr>
              <w:t xml:space="preserve">Endpoint GET /v2/amar/triggers. Documentation OAS 3.1. Integration portal open.osa-observatory.africa.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b w:val="false"/>
                <w:bCs w:val="false"/>
                <w:sz w:val="20"/>
                <w:szCs w:val="20"/>
              </w:rPr>
              <w:t xml:space="preserve">1 session</w:t>
            </w:r>
          </w:p>
        </w:tc>
        <w:tc>
          <w:tcPr>
            <w:tcW w:type="dxa" w:w="3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b w:val="false"/>
                <w:bCs w:val="false"/>
                <w:sz w:val="20"/>
                <w:szCs w:val="20"/>
              </w:rPr>
              <w:t xml:space="preserve">Lot B valide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b/>
                <w:bCs/>
                <w:sz w:val="20"/>
                <w:szCs w:val="20"/>
              </w:rPr>
              <w:t xml:space="preserve">Lot D - Documentation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b w:val="false"/>
                <w:bCs w:val="false"/>
                <w:sz w:val="20"/>
                <w:szCs w:val="20"/>
              </w:rPr>
              <w:t xml:space="preserve">Sprint report .docx. GAF finding #20 update final. Commit GitHub docs/.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b w:val="false"/>
                <w:bCs w:val="false"/>
                <w:sz w:val="20"/>
                <w:szCs w:val="20"/>
              </w:rPr>
              <w:t xml:space="preserve">0,5 session</w:t>
            </w:r>
          </w:p>
        </w:tc>
        <w:tc>
          <w:tcPr>
            <w:tcW w:type="dxa" w:w="3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b w:val="false"/>
                <w:bCs w:val="false"/>
                <w:sz w:val="20"/>
                <w:szCs w:val="20"/>
              </w:rPr>
              <w:t xml:space="preserve">Lot C livre</w:t>
            </w:r>
          </w:p>
        </w:tc>
      </w:tr>
    </w:tbl>
    <w:p>
      <w:pPr>
        <w:spacing w:after="80" w:before="80"/>
      </w:pPr>
    </w:p>
    <w:p>
      <w:pPr>
        <w:spacing w:after="60" w:before="60"/>
      </w:pPr>
      <w:r>
        <w:rPr>
          <w:rFonts w:ascii="Arial" w:cs="Arial" w:eastAsia="Arial" w:hAnsi="Arial"/>
          <w:b/>
          <w:bCs/>
          <w:color w:val="000000"/>
          <w:sz w:val="22"/>
          <w:szCs w:val="22"/>
        </w:rPr>
        <w:t xml:space="preserve">Sequence de livraison : </w:t>
      </w:r>
      <w:r>
        <w:rPr>
          <w:rFonts w:ascii="Arial" w:cs="Arial" w:eastAsia="Arial" w:hAnsi="Arial"/>
          <w:sz w:val="22"/>
          <w:szCs w:val="22"/>
        </w:rPr>
        <w:t xml:space="preserve">Lot A -&gt; Lot B -&gt; Lot C -&gt; Lot D. Chaque lot est conditionne a la validation du lot precedent. Aucun deploiement production avant validation Lot B (backfill + anomalies SDN/COD confirmees).</w:t>
      </w:r>
    </w:p>
    <w:p>
      <w:r>
        <w:br w:type="page"/>
      </w:r>
    </w:p>
    <w:p>
      <w:pPr>
        <w:pStyle w:val="Heading1"/>
        <w:spacing w:after="120" w:before="360"/>
      </w:pPr>
      <w:r>
        <w:rPr>
          <w:rFonts w:ascii="Arial" w:cs="Arial" w:eastAsia="Arial" w:hAnsi="Arial"/>
          <w:b/>
          <w:bCs/>
          <w:color w:val="1F4E79"/>
          <w:sz w:val="32"/>
          <w:szCs w:val="32"/>
        </w:rPr>
        <w:t xml:space="preserve">7. Points ouverts et differes</w:t>
      </w:r>
    </w:p>
    <w:p>
      <w:pPr>
        <w:pBdr>
          <w:bottom w:val="single" w:color="CCCCCC" w:sz="4"/>
        </w:pBd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500"/>
        <w:gridCol w:w="1526"/>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Point ouvert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Origine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Decision actee / Action</w:t>
            </w:r>
          </w:p>
        </w:tc>
        <w:tc>
          <w:tcPr>
            <w:tcW w:type="dxa" w:w="1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Horizon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19"/>
                <w:szCs w:val="19"/>
              </w:rPr>
              <w:t xml:space="preserve">TRIGGER_DIAGNOSTIC_INCOMPLETE priority logic</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19"/>
                <w:szCs w:val="19"/>
              </w:rPr>
              <w:t xml:space="preserve">ops.audit_findings #20 (22 juin 2026)</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19"/>
                <w:szCs w:val="19"/>
              </w:rPr>
              <w:t xml:space="preserve">Option B actee : INCOMPLETE conditionnel sous seuil EXCEPTIONAL. SDN 2024 PENV reste TRIGGER_EXCEPTIONAL, WKN absent porte comme attribut qualite.</w:t>
            </w:r>
          </w:p>
        </w:tc>
        <w:tc>
          <w:tcPr>
            <w:tcW w:type="dxa" w:w="1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19"/>
                <w:szCs w:val="19"/>
              </w:rPr>
              <w:t xml:space="preserve">Sprint 25 Lot B</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19"/>
                <w:szCs w:val="19"/>
              </w:rPr>
              <w:t xml:space="preserve">Seuil THR operationnel</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19"/>
                <w:szCs w:val="19"/>
              </w:rPr>
              <w:t xml:space="preserve">ops.audit_findings #20 (22 juin 2026)</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19"/>
                <w:szCs w:val="19"/>
              </w:rPr>
              <w:t xml:space="preserve">0.20 valide empiriquement. Pilier-agnostique. Ponderaion pilier-specifique reportee Sprint 2 Trigger Engine.</w:t>
            </w:r>
          </w:p>
        </w:tc>
        <w:tc>
          <w:tcPr>
            <w:tcW w:type="dxa" w:w="1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19"/>
                <w:szCs w:val="19"/>
              </w:rPr>
              <w:t xml:space="preserve">Sprint 25 Lot 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19"/>
                <w:szCs w:val="19"/>
              </w:rPr>
              <w:t xml:space="preserve">Anomalie SDN WKN_PENV = NULL + COD WKN_PENV = 0.051 conf=0.293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19"/>
                <w:szCs w:val="19"/>
              </w:rPr>
              <w:t xml:space="preserve">Simulation Trigger Engine (22 juin 2026)</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19"/>
                <w:szCs w:val="19"/>
              </w:rPr>
              <w:t xml:space="preserve">A investiguer comme finding qualite donnees separe. Ne bloque pas Sprint 25 - SDN capture par TRIGGER_EXCEPTIONAL.</w:t>
            </w:r>
          </w:p>
        </w:tc>
        <w:tc>
          <w:tcPr>
            <w:tcW w:type="dxa" w:w="1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19"/>
                <w:szCs w:val="19"/>
              </w:rPr>
              <w:t xml:space="preserve">Sprint 25 Lot B</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19"/>
                <w:szCs w:val="19"/>
              </w:rPr>
              <w:t xml:space="preserve">Absence triggers 2023 (0 declenchement)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19"/>
                <w:szCs w:val="19"/>
              </w:rPr>
              <w:t xml:space="preserve">Simulation Trigger Engine (22 juin 2026)</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19"/>
                <w:szCs w:val="19"/>
              </w:rPr>
              <w:t xml:space="preserve">Verifier donnees THR 2023 pour SDN - guerre civile avril 2023 non capturee. Investiguer pipeline ACLED 2023.</w:t>
            </w:r>
          </w:p>
        </w:tc>
        <w:tc>
          <w:tcPr>
            <w:tcW w:type="dxa" w:w="1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19"/>
                <w:szCs w:val="19"/>
              </w:rPr>
              <w:t xml:space="preserve">Sprint 26 / post-launch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19"/>
                <w:szCs w:val="19"/>
              </w:rPr>
              <w:t xml:space="preserve">Dominance PMIN (56% des triggers)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19"/>
                <w:szCs w:val="19"/>
              </w:rPr>
              <w:t xml:space="preserve">Simulation Trigger Engine (22 juin 2026)</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19"/>
                <w:szCs w:val="19"/>
              </w:rPr>
              <w:t xml:space="preserve">Constat documente. Ponderation pilier-specifique envisagee en Sprint 2 Trigger Engine. Hors scope Sprint 25.</w:t>
            </w:r>
          </w:p>
        </w:tc>
        <w:tc>
          <w:tcPr>
            <w:tcW w:type="dxa" w:w="1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19"/>
                <w:szCs w:val="19"/>
              </w:rPr>
              <w:t xml:space="preserve">Sprint 2 Trigger Engine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19"/>
                <w:szCs w:val="19"/>
              </w:rPr>
              <w:t xml:space="preserve">GENECO Trigger Engine (architecture si GENECO v2/v3)</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19"/>
                <w:szCs w:val="19"/>
              </w:rPr>
              <w:t xml:space="preserve">ops.audit_findings #21 (OPEN)</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19"/>
                <w:szCs w:val="19"/>
              </w:rPr>
              <w:t xml:space="preserve">Bloque par decision GENECO doctrine (finding #22 ORIENTED). GENECO v1 : Trigger par deduction depuis source commune. Re-conception si GENECO autonome.</w:t>
            </w:r>
          </w:p>
        </w:tc>
        <w:tc>
          <w:tcPr>
            <w:tcW w:type="dxa" w:w="1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19"/>
                <w:szCs w:val="19"/>
              </w:rPr>
              <w:t xml:space="preserve">Post Sprint 25</w:t>
            </w:r>
          </w:p>
        </w:tc>
      </w:tr>
    </w:tbl>
    <w:p>
      <w:r>
        <w:br w:type="page"/>
      </w:r>
    </w:p>
    <w:p>
      <w:pPr>
        <w:pStyle w:val="Heading1"/>
        <w:spacing w:after="120" w:before="360"/>
      </w:pPr>
      <w:r>
        <w:rPr>
          <w:rFonts w:ascii="Arial" w:cs="Arial" w:eastAsia="Arial" w:hAnsi="Arial"/>
          <w:b/>
          <w:bCs/>
          <w:color w:val="1F4E79"/>
          <w:sz w:val="32"/>
          <w:szCs w:val="32"/>
        </w:rPr>
        <w:t xml:space="preserve">8. Criteres de cloture Sprint 25</w:t>
      </w:r>
    </w:p>
    <w:p>
      <w:pPr>
        <w:pBdr>
          <w:bottom w:val="single" w:color="CCCCCC" w:sz="4"/>
        </w:pBdr>
        <w:spacing w:after="120" w:before="120"/>
      </w:pPr>
    </w:p>
    <w:p>
      <w:pPr>
        <w:spacing w:after="60" w:before="60"/>
      </w:pPr>
      <w:r>
        <w:rPr>
          <w:rFonts w:ascii="Arial" w:cs="Arial" w:eastAsia="Arial" w:hAnsi="Arial"/>
          <w:sz w:val="22"/>
          <w:szCs w:val="22"/>
        </w:rPr>
        <w:t xml:space="preserve">Le sprint est considere cloture lorsque les livrables suivants sont valides :</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Livrable</w:t>
            </w:r>
          </w:p>
        </w:tc>
        <w:tc>
          <w:tcPr>
            <w:tcW w:type="dxa" w:w="5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Critere de validation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pub.amar_triggers</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Table creee, contraintes FK verifiees, 18 lignes backfill 2020-2024 chargees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20"/>
                <w:szCs w:val="20"/>
              </w:rPr>
              <w:t xml:space="preserve">pub.v_amar_trigger_log</w:t>
            </w:r>
          </w:p>
        </w:tc>
        <w:tc>
          <w:tcPr>
            <w:tcW w:type="dxa" w:w="5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20"/>
                <w:szCs w:val="20"/>
              </w:rPr>
              <w:t xml:space="preserve">Vue operationnelle, requetes &lt; 200ms sur jeu complet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trigger_classify()</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Fonction testee sur les 4 classes, Option B validee sur cas SDN 2024 PENV</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20"/>
                <w:szCs w:val="20"/>
              </w:rPr>
              <w:t xml:space="preserve">GET /v2/amar/triggers</w:t>
            </w:r>
          </w:p>
        </w:tc>
        <w:tc>
          <w:tcPr>
            <w:tcW w:type="dxa" w:w="5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20"/>
                <w:szCs w:val="20"/>
              </w:rPr>
              <w:t xml:space="preserve">Endpoint documente OAS 3.1, reponse correcte sur filtres country/year/pillar/class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Integration portal</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Section Trigger Alerts visible sur open.osa-observatory.africa</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20"/>
                <w:szCs w:val="20"/>
              </w:rPr>
              <w:t xml:space="preserve">GAF #20 update</w:t>
            </w:r>
          </w:p>
        </w:tc>
        <w:tc>
          <w:tcPr>
            <w:tcW w:type="dxa" w:w="5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20"/>
                <w:szCs w:val="20"/>
              </w:rPr>
              <w:t xml:space="preserve">Description et raw_finding mis a jour avec resultats Sprint 25</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Sprint report</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docs/sprint_25_report.docx committe sur GitHub main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20"/>
                <w:szCs w:val="20"/>
              </w:rPr>
              <w:t xml:space="preserve">Anomalie SDN/COD</w:t>
            </w:r>
          </w:p>
        </w:tc>
        <w:tc>
          <w:tcPr>
            <w:tcW w:type="dxa" w:w="5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20"/>
                <w:szCs w:val="20"/>
              </w:rPr>
              <w:t xml:space="preserve">Investiguee et documentee (finding qualite donnees ouvert ou cloture)</w:t>
            </w:r>
          </w:p>
        </w:tc>
      </w:tr>
    </w:tbl>
    <w:p>
      <w:pPr>
        <w:spacing w:after="80" w:before="80"/>
      </w:pPr>
    </w:p>
    <w:p>
      <w:pPr>
        <w:pStyle w:val="Heading1"/>
        <w:spacing w:after="120" w:before="360"/>
      </w:pPr>
      <w:r>
        <w:rPr>
          <w:rFonts w:ascii="Arial" w:cs="Arial" w:eastAsia="Arial" w:hAnsi="Arial"/>
          <w:b/>
          <w:bCs/>
          <w:color w:val="1F4E79"/>
          <w:sz w:val="32"/>
          <w:szCs w:val="32"/>
        </w:rPr>
        <w:t xml:space="preserve">9. References</w:t>
      </w:r>
    </w:p>
    <w:p>
      <w:pPr>
        <w:pBdr>
          <w:bottom w:val="single" w:color="CCCCCC" w:sz="4"/>
        </w:pBd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c>
          <w:tcPr>
            <w:tcW w:type="dxa" w:w="5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Localisation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GAF finding #20 - STRATEGIC_RISK_SIGNAL_DOMINANCE_GREATEST</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ops.audit_findings WHERE finding_id = 20</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20"/>
                <w:szCs w:val="20"/>
              </w:rPr>
              <w:t xml:space="preserve">GAF finding #21 - GENECO_ANALYTICAL_INDEPENDENCE</w:t>
            </w:r>
          </w:p>
        </w:tc>
        <w:tc>
          <w:tcPr>
            <w:tcW w:type="dxa" w:w="5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20"/>
                <w:szCs w:val="20"/>
              </w:rPr>
              <w:t xml:space="preserve">ops.audit_findings WHERE finding_id = 21</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GAF finding #22 - GENECO_OBSERVATIONAL_DOCTRINE_ALIGNMENT</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ops.audit_findings WHERE finding_id = 22</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20"/>
                <w:szCs w:val="20"/>
              </w:rPr>
              <w:t xml:space="preserve">Simulation Trigger Engine (22 juin 2026)</w:t>
            </w:r>
          </w:p>
        </w:tc>
        <w:tc>
          <w:tcPr>
            <w:tcW w:type="dxa" w:w="5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20"/>
                <w:szCs w:val="20"/>
              </w:rPr>
              <w:t xml:space="preserve">raw_finding-&gt;'trigger_simulation' dans finding_id=20</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Decision architecture Trigger independant</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raw_finding-&gt;'trigger_engine_decision' dans finding_id=20</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20"/>
                <w:szCs w:val="20"/>
              </w:rPr>
              <w:t xml:space="preserve">Cadrage precedent</w:t>
            </w:r>
          </w:p>
        </w:tc>
        <w:tc>
          <w:tcPr>
            <w:tcW w:type="dxa" w:w="5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20"/>
                <w:szCs w:val="20"/>
              </w:rPr>
              <w:t xml:space="preserve">docs/cadrage_amar_trigger_engine.docx - GitHub main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Source analytique</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sz w:val="20"/>
                <w:szCs w:val="20"/>
              </w:rPr>
              <w:t xml:space="preserve">ma.v_p7i_risk_source (n=2 700, 2020-2024)</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20"/>
                <w:szCs w:val="20"/>
              </w:rPr>
              <w:t xml:space="preserve">Portal OSA</w:t>
            </w:r>
          </w:p>
        </w:tc>
        <w:tc>
          <w:tcPr>
            <w:tcW w:type="dxa" w:w="5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30" w:before="30"/>
            </w:pPr>
            <w:r>
              <w:rPr>
                <w:rFonts w:ascii="Arial" w:cs="Arial" w:eastAsia="Arial" w:hAnsi="Arial"/>
                <w:sz w:val="20"/>
                <w:szCs w:val="20"/>
              </w:rPr>
              <w:t xml:space="preserve">https://open.osa-observatory.africa</w:t>
            </w:r>
          </w:p>
        </w:tc>
      </w:tr>
    </w:tbl>
    <w:p>
      <w:pPr>
        <w:spacing w:after="80" w:before="80"/>
      </w:pPr>
    </w:p>
    <w:p>
      <w:pPr>
        <w:pBdr>
          <w:bottom w:val="single" w:color="1F4E79" w:sz="4"/>
        </w:pBdr>
        <w:spacing w:after="120" w:before="120"/>
      </w:pPr>
    </w:p>
    <w:p>
      <w:pPr>
        <w:spacing w:after="60" w:before="120"/>
        <w:jc w:val="center"/>
      </w:pPr>
      <w:r>
        <w:rPr>
          <w:rFonts w:ascii="Arial" w:cs="Arial" w:eastAsia="Arial" w:hAnsi="Arial"/>
          <w:i/>
          <w:iCs/>
          <w:color w:val="595959"/>
          <w:sz w:val="18"/>
          <w:szCs w:val="18"/>
        </w:rPr>
        <w:t xml:space="preserve">OSA Observatory - Observatoire de la Souverainete Africaine</w:t>
      </w:r>
    </w:p>
    <w:p>
      <w:pPr>
        <w:spacing w:after="60" w:before="0"/>
        <w:jc w:val="center"/>
      </w:pPr>
      <w:r>
        <w:rPr>
          <w:rFonts w:ascii="Arial" w:cs="Arial" w:eastAsia="Arial" w:hAnsi="Arial"/>
          <w:i/>
          <w:iCs/>
          <w:color w:val="595959"/>
          <w:sz w:val="18"/>
          <w:szCs w:val="18"/>
        </w:rPr>
        <w:t xml:space="preserve">Cadrage Sprint 25 - AMAR Trigger Engine - v1.0 - 23 juin 2026</w:t>
      </w:r>
    </w:p>
    <w:p>
      <w:pPr>
        <w:spacing w:after="0" w:before="0"/>
        <w:jc w:val="center"/>
      </w:pPr>
      <w:r>
        <w:rPr>
          <w:rFonts w:ascii="Arial" w:cs="Arial" w:eastAsia="Arial" w:hAnsi="Arial"/>
          <w:color w:val="595959"/>
          <w:sz w:val="16"/>
          <w:szCs w:val="16"/>
        </w:rPr>
        <w:t xml:space="preserve">Licence CC-BY-NC-4.0 - Usage interne Conseil technique OSA</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pBdr>
      <w:tabs>
        <w:tab w:val="right" w:pos="9026"/>
      </w:tabs>
      <w:spacing w:after="0" w:before="0"/>
    </w:pPr>
    <w:r>
      <w:rPr>
        <w:rFonts w:ascii="Arial" w:cs="Arial" w:eastAsia="Arial" w:hAnsi="Arial"/>
        <w:color w:val="595959"/>
        <w:sz w:val="16"/>
        <w:szCs w:val="16"/>
      </w:rPr>
      <w:t xml:space="preserve">OSA Observatory - Cadrage Sprint 25 - AMAR Trigger Engine</w:t>
    </w:r>
    <w:r>
      <w:rPr>
        <w:rFonts w:ascii="Arial" w:cs="Arial" w:eastAsia="Arial" w:hAnsi="Arial"/>
        <w:sz w:val="16"/>
        <w:szCs w:val="16"/>
      </w:rPr>
      <w:t xml:space="preserve">	</w:t>
    </w:r>
    <w:r>
      <w:rPr>
        <w:rFonts w:ascii="Arial" w:cs="Arial" w:eastAsia="Arial" w:hAnsi="Arial"/>
        <w:color w:val="595959"/>
        <w:sz w:val="16"/>
        <w:szCs w:val="16"/>
      </w:rPr>
      <w:t xml:space="preserve">Page </w:t>
    </w:r>
    <w: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2026-06-23T09:58:43.410Z</dcterms:created>
  <dcterms:modified xsi:type="dcterms:W3CDTF">2026-06-23T09:58:43.411Z</dcterms:modified>
</cp:coreProperties>
</file>

<file path=docProps/custom.xml><?xml version="1.0" encoding="utf-8"?>
<Properties xmlns="http://schemas.openxmlformats.org/officeDocument/2006/custom-properties" xmlns:vt="http://schemas.openxmlformats.org/officeDocument/2006/docPropsVTypes"/>
</file>