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Arial" w:cs="Arial" w:eastAsia="Arial" w:hAnsi="Arial"/>
          <w:b/>
          <w:bCs/>
          <w:color w:val="1B3A6B"/>
          <w:sz w:val="52"/>
          <w:szCs w:val="52"/>
        </w:rPr>
        <w:t xml:space="preserve">OSA OBSERVATORY</w:t>
      </w:r>
    </w:p>
    <w:p>
      <w:pPr>
        <w:spacing w:after="480"/>
        <w:jc w:val="center"/>
      </w:pPr>
      <w:r>
        <w:rPr>
          <w:rFonts w:ascii="Arial" w:cs="Arial" w:eastAsia="Arial" w:hAnsi="Arial"/>
          <w:color w:val="C8A84B"/>
          <w:sz w:val="26"/>
          <w:szCs w:val="26"/>
        </w:rPr>
        <w:t xml:space="preserve">Observatoire de la Souverainete Africaine</w:t>
      </w:r>
    </w:p>
    <w:p>
      <w:pPr>
        <w:pBdr>
          <w:top w:val="single" w:color="1B3A6B" w:sz="8"/>
          <w:bottom w:val="single" w:color="1B3A6B" w:sz="8"/>
        </w:pBdr>
        <w:spacing w:after="200" w:before="200"/>
        <w:jc w:val="center"/>
      </w:pPr>
      <w:r>
        <w:rPr>
          <w:rFonts w:ascii="Arial" w:cs="Arial" w:eastAsia="Arial" w:hAnsi="Arial"/>
          <w:b/>
          <w:bCs/>
          <w:color w:val="1B3A6B"/>
          <w:sz w:val="40"/>
          <w:szCs w:val="40"/>
        </w:rPr>
        <w:t xml:space="preserve">RAPPORT FINAL — SPRINT 22</w:t>
      </w:r>
    </w:p>
    <w:p>
      <w:pPr>
        <w:spacing w:after="480"/>
      </w:pPr>
      <w:r>
        <w:t xml:space="preserve"/>
      </w:r>
    </w:p>
    <w:p>
      <w:pPr>
        <w:spacing w:after="120"/>
        <w:jc w:val="center"/>
      </w:pPr>
      <w:r>
        <w:rPr>
          <w:rFonts w:ascii="Arial" w:cs="Arial" w:eastAsia="Arial" w:hAnsi="Arial"/>
          <w:b/>
          <w:bCs/>
          <w:color w:val="2E75B6"/>
          <w:sz w:val="24"/>
          <w:szCs w:val="24"/>
        </w:rPr>
        <w:t xml:space="preserve">Consolidation publication inaugurale 2020–2024</w:t>
      </w:r>
    </w:p>
    <w:p>
      <w:pPr>
        <w:spacing w:after="480"/>
        <w:jc w:val="center"/>
      </w:pPr>
      <w:r>
        <w:rPr>
          <w:rFonts w:ascii="Arial" w:cs="Arial" w:eastAsia="Arial" w:hAnsi="Arial"/>
          <w:i/>
          <w:iCs/>
          <w:color w:val="595959"/>
          <w:sz w:val="22"/>
          <w:szCs w:val="22"/>
        </w:rPr>
        <w:t xml:space="preserve">TRAJECTOIRE expansion · Dette technique · Gouvernance P9 · P7Z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jc w:val="center"/>
            </w:pPr>
            <w:r>
              <w:rPr>
                <w:rFonts w:ascii="Arial" w:cs="Arial" w:eastAsia="Arial" w:hAnsi="Arial"/>
                <w:color w:val="595959"/>
                <w:sz w:val="22"/>
                <w:szCs w:val="22"/>
              </w:rPr>
              <w:t xml:space="preserve">Date : 12 juin 2026  |  Sprint 22</w:t>
            </w:r>
          </w:p>
          <w:p>
            <w:pPr>
              <w:jc w:val="center"/>
            </w:pPr>
            <w:r>
              <w:rPr>
                <w:rFonts w:ascii="Arial" w:cs="Arial" w:eastAsia="Arial" w:hAnsi="Arial"/>
                <w:color w:val="595959"/>
                <w:sz w:val="22"/>
                <w:szCs w:val="22"/>
              </w:rPr>
              <w:t xml:space="preserve">Auteur : Theophile Bakang — Architecte principal OSA Observatory</w:t>
            </w:r>
          </w:p>
          <w:p>
            <w:pPr>
              <w:jc w:val="center"/>
            </w:pPr>
            <w:r>
              <w:rPr>
                <w:rFonts w:ascii="Arial" w:cs="Arial" w:eastAsia="Arial" w:hAnsi="Arial"/>
                <w:i/>
                <w:iCs/>
                <w:color w:val="595959"/>
                <w:sz w:val="20"/>
                <w:szCs w:val="20"/>
              </w:rPr>
              <w:t xml:space="preserve">HEAD : b9f18f5  |  Repo : github.com/Bath4856/osa-observatory</w:t>
            </w:r>
          </w:p>
        </w:tc>
      </w:tr>
    </w:tbl>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Résumé exécutif</w:t>
      </w:r>
    </w:p>
    <w:p>
      <w:pPr>
        <w:spacing w:after="120"/>
        <w:jc w:val="both"/>
      </w:pPr>
      <w:r>
        <w:rPr>
          <w:rFonts w:ascii="Arial" w:cs="Arial" w:eastAsia="Arial" w:hAnsi="Arial"/>
          <w:b w:val="false"/>
          <w:bCs w:val="false"/>
          <w:i w:val="false"/>
          <w:iCs w:val="false"/>
          <w:color w:val="000000"/>
          <w:sz w:val="22"/>
          <w:szCs w:val="22"/>
        </w:rPr>
        <w:t xml:space="preserve">Le Sprint 22 consolide la publication inaugurale OSA 2027 sur les données 2020–2024. Il livre cinq chantiers complémentaires : l'expansion des indicateurs TRAJECTOIRE à trois nouveaux piliers, la liquidation de la dette technique (classification des 206 indicateurs, bilinguisme), la formalisation de la gouvernance institutionnelle P9, et la documentation formelle de la couche prédictive P7Z en attente de validation du Comité Scientifique.</w:t>
      </w:r>
    </w:p>
    <w:p>
      <w:pPr>
        <w:spacing w:after="80"/>
      </w:pPr>
      <w:r>
        <w:t xml:space="preserve"/>
      </w:r>
    </w:p>
    <w:p>
      <w:pPr>
        <w:spacing w:after="120"/>
        <w:jc w:val="both"/>
      </w:pPr>
      <w:r>
        <w:rPr>
          <w:rFonts w:ascii="Arial" w:cs="Arial" w:eastAsia="Arial" w:hAnsi="Arial"/>
          <w:b w:val="false"/>
          <w:bCs w:val="false"/>
          <w:i w:val="false"/>
          <w:iCs w:val="false"/>
          <w:color w:val="000000"/>
          <w:sz w:val="22"/>
          <w:szCs w:val="22"/>
        </w:rPr>
        <w:t xml:space="preserve">Au terme de Sprint 22, OSA Observatory dispose d'un socle doctrinal, technique et institutionnel complet pour la publication inaugurale de septembre 2027.</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DAEEF3"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998 675</w:t>
            </w:r>
          </w:p>
          <w:p>
            <w:pPr>
              <w:jc w:val="center"/>
            </w:pPr>
            <w:r>
              <w:rPr>
                <w:rFonts w:ascii="Arial" w:cs="Arial" w:eastAsia="Arial" w:hAnsi="Arial"/>
                <w:color w:val="595959"/>
                <w:sz w:val="18"/>
                <w:szCs w:val="18"/>
              </w:rPr>
              <w:t xml:space="preserve">Valeurs L3 en base</w:t>
            </w:r>
          </w:p>
        </w:tc>
        <w:tc>
          <w:tcPr>
            <w:tcW w:type="dxa" w:w="2256"/>
            <w:tcBorders>
              <w:top w:val="single" w:color="CCCCCC" w:sz="1"/>
              <w:left w:val="single" w:color="CCCCCC" w:sz="1"/>
              <w:bottom w:val="single" w:color="CCCCCC" w:sz="1"/>
              <w:right w:val="single" w:color="CCCCCC" w:sz="1"/>
            </w:tcBorders>
            <w:shd w:fill="E2F0D9"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238</w:t>
            </w:r>
          </w:p>
          <w:p>
            <w:pPr>
              <w:jc w:val="center"/>
            </w:pPr>
            <w:r>
              <w:rPr>
                <w:rFonts w:ascii="Arial" w:cs="Arial" w:eastAsia="Arial" w:hAnsi="Arial"/>
                <w:color w:val="595959"/>
                <w:sz w:val="18"/>
                <w:szCs w:val="18"/>
              </w:rPr>
              <w:t xml:space="preserve">Indicateurs actifs</w:t>
            </w:r>
          </w:p>
        </w:tc>
        <w:tc>
          <w:tcPr>
            <w:tcW w:type="dxa" w:w="2256"/>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10</w:t>
            </w:r>
          </w:p>
          <w:p>
            <w:pPr>
              <w:jc w:val="center"/>
            </w:pPr>
            <w:r>
              <w:rPr>
                <w:rFonts w:ascii="Arial" w:cs="Arial" w:eastAsia="Arial" w:hAnsi="Arial"/>
                <w:color w:val="595959"/>
                <w:sz w:val="18"/>
                <w:szCs w:val="18"/>
              </w:rPr>
              <w:t xml:space="preserve">Indicateurs TRAJECTOIRE</w:t>
            </w:r>
          </w:p>
        </w:tc>
        <w:tc>
          <w:tcPr>
            <w:tcW w:type="dxa" w:w="2256"/>
            <w:tcBorders>
              <w:top w:val="single" w:color="CCCCCC" w:sz="1"/>
              <w:left w:val="single" w:color="CCCCCC" w:sz="1"/>
              <w:bottom w:val="single" w:color="CCCCCC" w:sz="1"/>
              <w:right w:val="single" w:color="CCCCCC" w:sz="1"/>
            </w:tcBorders>
            <w:shd w:fill="E2F0D9"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0</w:t>
            </w:r>
          </w:p>
          <w:p>
            <w:pPr>
              <w:jc w:val="center"/>
            </w:pPr>
            <w:r>
              <w:rPr>
                <w:rFonts w:ascii="Arial" w:cs="Arial" w:eastAsia="Arial" w:hAnsi="Arial"/>
                <w:color w:val="595959"/>
                <w:sz w:val="18"/>
                <w:szCs w:val="18"/>
              </w:rPr>
              <w:t xml:space="preserve">Sans groupe (dette soldée)</w:t>
            </w:r>
          </w:p>
        </w:tc>
      </w:tr>
      <w:tr>
        <w:tc>
          <w:tcPr>
            <w:tcW w:type="dxa" w:w="2256"/>
            <w:tcBorders>
              <w:top w:val="single" w:color="CCCCCC" w:sz="1"/>
              <w:left w:val="single" w:color="CCCCCC" w:sz="1"/>
              <w:bottom w:val="single" w:color="CCCCCC" w:sz="1"/>
              <w:right w:val="single" w:color="CCCCCC" w:sz="1"/>
            </w:tcBorders>
            <w:shd w:fill="DAEEF3"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5</w:t>
            </w:r>
          </w:p>
          <w:p>
            <w:pPr>
              <w:jc w:val="center"/>
            </w:pPr>
            <w:r>
              <w:rPr>
                <w:rFonts w:ascii="Arial" w:cs="Arial" w:eastAsia="Arial" w:hAnsi="Arial"/>
                <w:color w:val="595959"/>
                <w:sz w:val="18"/>
                <w:szCs w:val="18"/>
              </w:rPr>
              <w:t xml:space="preserve">Tiers tarifaires</w:t>
            </w:r>
          </w:p>
        </w:tc>
        <w:tc>
          <w:tcPr>
            <w:tcW w:type="dxa" w:w="2256"/>
            <w:tcBorders>
              <w:top w:val="single" w:color="CCCCCC" w:sz="1"/>
              <w:left w:val="single" w:color="CCCCCC" w:sz="1"/>
              <w:bottom w:val="single" w:color="CCCCCC" w:sz="1"/>
              <w:right w:val="single" w:color="CCCCCC" w:sz="1"/>
            </w:tcBorders>
            <w:shd w:fill="DAEEF3"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26</w:t>
            </w:r>
          </w:p>
          <w:p>
            <w:pPr>
              <w:jc w:val="center"/>
            </w:pPr>
            <w:r>
              <w:rPr>
                <w:rFonts w:ascii="Arial" w:cs="Arial" w:eastAsia="Arial" w:hAnsi="Arial"/>
                <w:color w:val="595959"/>
                <w:sz w:val="18"/>
                <w:szCs w:val="18"/>
              </w:rPr>
              <w:t xml:space="preserve">KPIs P9 gouvernance</w:t>
            </w:r>
          </w:p>
        </w:tc>
        <w:tc>
          <w:tcPr>
            <w:tcW w:type="dxa" w:w="2256"/>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8 091</w:t>
            </w:r>
          </w:p>
          <w:p>
            <w:pPr>
              <w:jc w:val="center"/>
            </w:pPr>
            <w:r>
              <w:rPr>
                <w:rFonts w:ascii="Arial" w:cs="Arial" w:eastAsia="Arial" w:hAnsi="Arial"/>
                <w:color w:val="595959"/>
                <w:sz w:val="18"/>
                <w:szCs w:val="18"/>
              </w:rPr>
              <w:t xml:space="preserve">P7Z baseline entries</w:t>
            </w:r>
          </w:p>
        </w:tc>
        <w:tc>
          <w:tcPr>
            <w:tcW w:type="dxa" w:w="2256"/>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jc w:val="center"/>
            </w:pPr>
            <w:r>
              <w:rPr>
                <w:rFonts w:ascii="Arial" w:cs="Arial" w:eastAsia="Arial" w:hAnsi="Arial"/>
                <w:b/>
                <w:bCs/>
                <w:color w:val="1B3A6B"/>
                <w:sz w:val="52"/>
                <w:szCs w:val="52"/>
              </w:rPr>
              <w:t xml:space="preserve">2027-04</w:t>
            </w:r>
          </w:p>
          <w:p>
            <w:pPr>
              <w:jc w:val="center"/>
            </w:pPr>
            <w:r>
              <w:rPr>
                <w:rFonts w:ascii="Arial" w:cs="Arial" w:eastAsia="Arial" w:hAnsi="Arial"/>
                <w:color w:val="595959"/>
                <w:sz w:val="18"/>
                <w:szCs w:val="18"/>
              </w:rPr>
              <w:t xml:space="preserve">Activation P7Z</w:t>
            </w:r>
          </w:p>
        </w:tc>
      </w:tr>
    </w:tbl>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1. Chantier 1 — Expansion TRAJECTOIRE</w:t>
      </w:r>
    </w:p>
    <w:p>
      <w:pPr>
        <w:spacing w:after="120"/>
        <w:jc w:val="both"/>
      </w:pPr>
      <w:r>
        <w:rPr>
          <w:rFonts w:ascii="Arial" w:cs="Arial" w:eastAsia="Arial" w:hAnsi="Arial"/>
          <w:b w:val="false"/>
          <w:bCs w:val="false"/>
          <w:i w:val="false"/>
          <w:iCs w:val="false"/>
          <w:color w:val="000000"/>
          <w:sz w:val="22"/>
          <w:szCs w:val="22"/>
        </w:rPr>
        <w:t xml:space="preserve">Sprint 22 ajoute 5 nouveaux indicateurs TRAJECTOIRE sur 3 piliers, portant le total à 10 indicateurs TRAJECTOIRE actifs couvrant 5 piliers ISA. Chaque indicateur respecte la doctrine P7E : observation comportementale pure, jamais d'imputation pour les signaux de trajectoire.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800"/>
        <w:gridCol w:w="1400"/>
        <w:gridCol w:w="2226"/>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Pilier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Valeurs L1</w:t>
            </w:r>
          </w:p>
        </w:tc>
        <w:tc>
          <w:tcPr>
            <w:tcW w:type="dxa" w:w="2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ECO_PUBLIC_LEAKAGE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ECO_PUBLIC_REV - ECO_TAX normalise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13 473 L3</w:t>
            </w:r>
          </w:p>
        </w:tc>
        <w:tc>
          <w:tcPr>
            <w:tcW w:type="dxa" w:w="22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Existant — L3 complet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ECO_TAX_EFFICIENCY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ECO_TAX / ECO_PUBLIC_REV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12 217 L3</w:t>
            </w:r>
          </w:p>
        </w:tc>
        <w:tc>
          <w:tcPr>
            <w:tcW w:type="dxa" w:w="22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Existant — L3 complet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ECO_FORMAL_TRAJECTORY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Delta taux formalisation (100-INFORMAL)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122 L1</w:t>
            </w:r>
          </w:p>
        </w:tc>
        <w:tc>
          <w:tcPr>
            <w:tcW w:type="dxa" w:w="22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L1 ONLY P7E — 32 pays obs. directes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PNUM_DIGITAL_CAPTURE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Taux croissance internet (t-1)/t-1 x100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723 L1</w:t>
            </w:r>
          </w:p>
        </w:tc>
        <w:tc>
          <w:tcPr>
            <w:tcW w:type="dxa" w:w="22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L1 ONLY — 54 pays 2011-2024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PMON_RESERVE_CAPTURE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PMON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Taux variation reserves change (t-1)/t-1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712 L1</w:t>
            </w:r>
          </w:p>
        </w:tc>
        <w:tc>
          <w:tcPr>
            <w:tcW w:type="dxa" w:w="22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L1 ONLY — 52 pays 2011-2024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PENV_FOREST_SOVEREIGNTY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Taux retention couvert forestier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2226"/>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Reporte Sprint 23 — ENV_FOR interpolee WB</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1.1 Decisions doctrinales Sprint 22</w:t>
      </w:r>
    </w:p>
    <w:p>
      <w:pPr>
        <w:pStyle w:val="ListParagraph"/>
        <w:numPr>
          <w:ilvl w:val="0"/>
          <w:numId w:val="2"/>
        </w:numPr>
        <w:spacing w:after="60"/>
      </w:pPr>
      <w:r>
        <w:rPr>
          <w:rFonts w:ascii="Arial" w:cs="Arial" w:eastAsia="Arial" w:hAnsi="Arial"/>
          <w:sz w:val="22"/>
          <w:szCs w:val="22"/>
        </w:rPr>
        <w:t xml:space="preserve">ECO_FORMAL_TRAJECTORY : L1 ONLY — ILO SDG 8.3.1 ponctuel, MICE impute valeur plate pour 22/54 pays. Inventer une trajectoire depuis imputation plate violerait P7E.</w:t>
      </w:r>
    </w:p>
    <w:p>
      <w:pPr>
        <w:pStyle w:val="ListParagraph"/>
        <w:numPr>
          <w:ilvl w:val="0"/>
          <w:numId w:val="2"/>
        </w:numPr>
        <w:spacing w:after="60"/>
      </w:pPr>
      <w:r>
        <w:rPr>
          <w:rFonts w:ascii="Arial" w:cs="Arial" w:eastAsia="Arial" w:hAnsi="Arial"/>
          <w:sz w:val="22"/>
          <w:szCs w:val="22"/>
        </w:rPr>
        <w:t xml:space="preserve">PENV_FOREST_SOVEREIGNTY : reporte Sprint 23 — ENV_FOR est une interpolation lineaire WB entre enquetes FAO quinquennales. Donnee non annuelle = trajectoire artefact.</w:t>
      </w:r>
    </w:p>
    <w:p>
      <w:pPr>
        <w:pStyle w:val="ListParagraph"/>
        <w:numPr>
          <w:ilvl w:val="0"/>
          <w:numId w:val="2"/>
        </w:numPr>
        <w:spacing w:after="60"/>
      </w:pPr>
      <w:r>
        <w:rPr>
          <w:rFonts w:ascii="Arial" w:cs="Arial" w:eastAsia="Arial" w:hAnsi="Arial"/>
          <w:sz w:val="22"/>
          <w:szCs w:val="22"/>
        </w:rPr>
        <w:t xml:space="preserve">PMIN_SMUGGLING_SIGNAL_VALUE Option B : reporte Sprint 23 — prix LME non disponibles en base. Fetcher World Bank Pink Sheet a creer.</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2. Chantier 2 — Liquidation dette technique</w:t>
      </w:r>
    </w:p>
    <w:p>
      <w:pPr>
        <w:pStyle w:val="Heading2"/>
        <w:spacing w:after="120" w:before="240"/>
      </w:pPr>
      <w:r>
        <w:rPr>
          <w:rFonts w:ascii="Arial" w:cs="Arial" w:eastAsia="Arial" w:hAnsi="Arial"/>
          <w:b/>
          <w:bCs/>
          <w:color w:val="2E75B6"/>
          <w:sz w:val="24"/>
          <w:szCs w:val="24"/>
        </w:rPr>
        <w:t xml:space="preserve">2.1 Classification indicator_group — 206 indicateurs</w:t>
      </w:r>
    </w:p>
    <w:p>
      <w:pPr>
        <w:spacing w:after="120"/>
        <w:jc w:val="both"/>
      </w:pPr>
      <w:r>
        <w:rPr>
          <w:rFonts w:ascii="Arial" w:cs="Arial" w:eastAsia="Arial" w:hAnsi="Arial"/>
          <w:b w:val="false"/>
          <w:bCs w:val="false"/>
          <w:i w:val="false"/>
          <w:iCs w:val="false"/>
          <w:color w:val="000000"/>
          <w:sz w:val="22"/>
          <w:szCs w:val="22"/>
        </w:rPr>
        <w:t xml:space="preserve">Les 206 indicateurs sans groupe ont ete classes selon la taxonomie OSA PHYSIQUE/EXPLOITATION/PRESSION/TRAJECTOIRE, etendue de PMIN a l ensemble des 10 piliers ISA.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Nb indicateurs</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PHYSIQUE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69</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Actifs bruts : reserves, population, reseau, couverture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EXPLOITATION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90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Utilisation des actifs : exports, emploi, gouvernance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69</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Tensions sur les actifs : dette, pollution, conflits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TRAJECTOIRE</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10</w:t>
            </w:r>
          </w:p>
        </w:tc>
        <w:tc>
          <w:tcPr>
            <w:tcW w:type="dxa" w:w="5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Dynamiques captation/fuite : VALUE_CAPTURE, LEAKAGE, DIGITAL_CAPTURE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7A4A"/>
                <w:sz w:val="20"/>
                <w:szCs w:val="20"/>
              </w:rPr>
              <w:t xml:space="preserve">Sans groupe restants</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0</w:t>
            </w:r>
          </w:p>
        </w:tc>
        <w:tc>
          <w:tcPr>
            <w:tcW w:type="dxa" w:w="5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Dette technique soldee</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2.2 Bilinguisme project_family_label</w:t>
      </w:r>
    </w:p>
    <w:p>
      <w:pPr>
        <w:spacing w:after="120"/>
        <w:jc w:val="both"/>
      </w:pPr>
      <w:r>
        <w:rPr>
          <w:rFonts w:ascii="Arial" w:cs="Arial" w:eastAsia="Arial" w:hAnsi="Arial"/>
          <w:b w:val="false"/>
          <w:bCs w:val="false"/>
          <w:i w:val="false"/>
          <w:iCs w:val="false"/>
          <w:color w:val="000000"/>
          <w:sz w:val="22"/>
          <w:szCs w:val="22"/>
        </w:rPr>
        <w:t xml:space="preserve">Les 10 familles de projets souverains de rf.structuring_project_catalog ont ete traduites en anglais. L API /api/v2/sovereign-projects retourne desormais project_family_label selon lang=en|fr. Encodage UTF-8 verifie.</w:t>
      </w:r>
    </w:p>
    <w:p>
      <w:pPr>
        <w:spacing w:after="80"/>
      </w:pPr>
      <w:r>
        <w:t xml:space="preserve"/>
      </w:r>
    </w:p>
    <w:p>
      <w:pPr>
        <w:pStyle w:val="Heading2"/>
        <w:spacing w:after="120" w:before="240"/>
      </w:pPr>
      <w:r>
        <w:rPr>
          <w:rFonts w:ascii="Arial" w:cs="Arial" w:eastAsia="Arial" w:hAnsi="Arial"/>
          <w:b/>
          <w:bCs/>
          <w:color w:val="2E75B6"/>
          <w:sz w:val="24"/>
          <w:szCs w:val="24"/>
        </w:rPr>
        <w:t xml:space="preserve">2.3 Connexion portail — rf.publication_policy</w:t>
      </w:r>
    </w:p>
    <w:p>
      <w:pPr>
        <w:spacing w:after="120"/>
        <w:jc w:val="both"/>
      </w:pPr>
      <w:r>
        <w:rPr>
          <w:rFonts w:ascii="Arial" w:cs="Arial" w:eastAsia="Arial" w:hAnsi="Arial"/>
          <w:b w:val="false"/>
          <w:bCs w:val="false"/>
          <w:i w:val="false"/>
          <w:iCs w:val="false"/>
          <w:color w:val="000000"/>
          <w:sz w:val="22"/>
          <w:szCs w:val="22"/>
        </w:rPr>
        <w:t xml:space="preserve">Le router rankings.py joint desormais rf.publication_policy pour retourner le statut reel par annee. Les annees 2021-2024 affichent OFFICIAL conformement a la decision doctrinale Sprint 21.</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3. Chantier 3 — Gouvernance executive P9</w:t>
      </w:r>
    </w:p>
    <w:p>
      <w:pPr>
        <w:pStyle w:val="Heading2"/>
        <w:spacing w:after="120" w:before="240"/>
      </w:pPr>
      <w:r>
        <w:rPr>
          <w:rFonts w:ascii="Arial" w:cs="Arial" w:eastAsia="Arial" w:hAnsi="Arial"/>
          <w:b/>
          <w:bCs/>
          <w:color w:val="2E75B6"/>
          <w:sz w:val="24"/>
          <w:szCs w:val="24"/>
        </w:rPr>
        <w:t xml:space="preserve">3.1 Grille tarifaire differenciee</w:t>
      </w:r>
    </w:p>
    <w:p>
      <w:pPr>
        <w:spacing w:after="120"/>
        <w:jc w:val="both"/>
      </w:pPr>
      <w:r>
        <w:rPr>
          <w:rFonts w:ascii="Arial" w:cs="Arial" w:eastAsia="Arial" w:hAnsi="Arial"/>
          <w:b w:val="false"/>
          <w:bCs w:val="false"/>
          <w:i w:val="false"/>
          <w:iCs w:val="false"/>
          <w:color w:val="000000"/>
          <w:sz w:val="22"/>
          <w:szCs w:val="22"/>
        </w:rPr>
        <w:t xml:space="preserve">La table rf.affiliation_tier_pricing formalise 5 segments tarifaires distincts, separes de access_level (droits techniques) pour eviter tout couplage entre facturation et autorisation d acces.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Disponible</w:t>
            </w:r>
          </w:p>
        </w:tc>
        <w:tc>
          <w:tcPr>
            <w:tcW w:type="dxa" w:w="3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PUBLIC</w:t>
            </w:r>
          </w:p>
        </w:tc>
        <w:tc>
          <w:tcPr>
            <w:tcW w:type="dxa" w:w="16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2024</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Gratuit — CC-BY-NC-4.0 — scores, trajectoires, alertes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SUBSCRIBER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Profils pays, piliers, etudes faisabilite, POC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Gouvernements africains — tarif souverain preferentiel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DEVELOPMENT_BANK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BAD, Banque Mondiale, agences de developpement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ADVANCED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PREMIUM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2027</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Analyses predictives, API haute frequence, sur devis</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3.2 Vue pub.v_p9_executive_governance — 26 KPIs</w:t>
      </w:r>
    </w:p>
    <w:p>
      <w:pPr>
        <w:spacing w:after="120"/>
        <w:jc w:val="both"/>
      </w:pPr>
      <w:r>
        <w:rPr>
          <w:rFonts w:ascii="Arial" w:cs="Arial" w:eastAsia="Arial" w:hAnsi="Arial"/>
          <w:b w:val="false"/>
          <w:bCs w:val="false"/>
          <w:i w:val="false"/>
          <w:iCs w:val="false"/>
          <w:color w:val="000000"/>
          <w:sz w:val="22"/>
          <w:szCs w:val="22"/>
        </w:rPr>
        <w:t xml:space="preserve">Vue unifiee de gouvernance executive consolidant les indicateurs de pilotage de la plateforme OSA en un seul endpoint. Accessible via GET /opendata/governance.</w:t>
      </w:r>
    </w:p>
    <w:p>
      <w:pPr>
        <w:spacing w:after="80"/>
      </w:pPr>
      <w:r>
        <w:t xml:space="preserve"/>
      </w:r>
    </w:p>
    <w:p>
      <w:pPr>
        <w:pStyle w:val="ListParagraph"/>
        <w:numPr>
          <w:ilvl w:val="0"/>
          <w:numId w:val="2"/>
        </w:numPr>
        <w:spacing w:after="60"/>
      </w:pPr>
      <w:r>
        <w:rPr>
          <w:rFonts w:ascii="Arial" w:cs="Arial" w:eastAsia="Arial" w:hAnsi="Arial"/>
          <w:sz w:val="22"/>
          <w:szCs w:val="22"/>
        </w:rPr>
        <w:t xml:space="preserve">Affiliations : actives, par tier (STATE, DEVELOPMENT_BANK, PUBLIC)</w:t>
      </w:r>
    </w:p>
    <w:p>
      <w:pPr>
        <w:pStyle w:val="ListParagraph"/>
        <w:numPr>
          <w:ilvl w:val="0"/>
          <w:numId w:val="2"/>
        </w:numPr>
        <w:spacing w:after="60"/>
      </w:pPr>
      <w:r>
        <w:rPr>
          <w:rFonts w:ascii="Arial" w:cs="Arial" w:eastAsia="Arial" w:hAnsi="Arial"/>
          <w:sz w:val="22"/>
          <w:szCs w:val="22"/>
        </w:rPr>
        <w:t xml:space="preserve">API : consultations totales, 7j, 24h, latence moyenne et P95</w:t>
      </w:r>
    </w:p>
    <w:p>
      <w:pPr>
        <w:pStyle w:val="ListParagraph"/>
        <w:numPr>
          <w:ilvl w:val="0"/>
          <w:numId w:val="2"/>
        </w:numPr>
        <w:spacing w:after="60"/>
      </w:pPr>
      <w:r>
        <w:rPr>
          <w:rFonts w:ascii="Arial" w:cs="Arial" w:eastAsia="Arial" w:hAnsi="Arial"/>
          <w:sz w:val="22"/>
          <w:szCs w:val="22"/>
        </w:rPr>
        <w:t xml:space="preserve">Tickets : total, contestations, taux de resolution, urgents non traites</w:t>
      </w:r>
    </w:p>
    <w:p>
      <w:pPr>
        <w:pStyle w:val="ListParagraph"/>
        <w:numPr>
          <w:ilvl w:val="0"/>
          <w:numId w:val="2"/>
        </w:numPr>
        <w:spacing w:after="60"/>
      </w:pPr>
      <w:r>
        <w:rPr>
          <w:rFonts w:ascii="Arial" w:cs="Arial" w:eastAsia="Arial" w:hAnsi="Arial"/>
          <w:sz w:val="22"/>
          <w:szCs w:val="22"/>
        </w:rPr>
        <w:t xml:space="preserve">Donnees ISA : 54 pays, 2024, 238 indicateurs, 10 TRAJECTOIRE, 2700 trajectoires</w:t>
      </w:r>
    </w:p>
    <w:p>
      <w:pPr>
        <w:pStyle w:val="ListParagraph"/>
        <w:numPr>
          <w:ilvl w:val="0"/>
          <w:numId w:val="2"/>
        </w:numPr>
        <w:spacing w:after="60"/>
      </w:pPr>
      <w:r>
        <w:rPr>
          <w:rFonts w:ascii="Arial" w:cs="Arial" w:eastAsia="Arial" w:hAnsi="Arial"/>
          <w:sz w:val="22"/>
          <w:szCs w:val="22"/>
        </w:rPr>
        <w:t xml:space="preserve">Cycle publication : 5 OFFICIAL, 1 PRELIMINARY, 1 COLLECTING — prochaine publication 2027-09-08</w:t>
      </w:r>
    </w:p>
    <w:p>
      <w:pPr>
        <w:pStyle w:val="ListParagraph"/>
        <w:numPr>
          <w:ilvl w:val="0"/>
          <w:numId w:val="2"/>
        </w:numPr>
        <w:spacing w:after="60"/>
      </w:pPr>
      <w:r>
        <w:rPr>
          <w:rFonts w:ascii="Arial" w:cs="Arial" w:eastAsia="Arial" w:hAnsi="Arial"/>
          <w:sz w:val="22"/>
          <w:szCs w:val="22"/>
        </w:rPr>
        <w:t xml:space="preserve">Sante systeme : 8 indicateurs inactifs, 0 sans groupe</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4. Chantier 4 — P7Z couche predictive souveraine</w:t>
      </w:r>
    </w:p>
    <w:p>
      <w:pPr>
        <w:spacing w:after="120"/>
        <w:jc w:val="both"/>
      </w:pPr>
      <w:r>
        <w:rPr>
          <w:rFonts w:ascii="Arial" w:cs="Arial" w:eastAsia="Arial" w:hAnsi="Arial"/>
          <w:b w:val="false"/>
          <w:bCs w:val="false"/>
          <w:i w:val="false"/>
          <w:iCs w:val="false"/>
          <w:color w:val="000000"/>
          <w:sz w:val="22"/>
          <w:szCs w:val="22"/>
        </w:rPr>
        <w:t xml:space="preserve">La couche predictive P7Z est architecturalement complete depuis les sprints precedents. Sprint 22 documente formellement son etat et cree un endpoint de statut public.</w:t>
      </w:r>
    </w:p>
    <w:p>
      <w:pPr>
        <w:spacing w:after="80"/>
      </w:pPr>
      <w:r>
        <w:t xml:space="preserve"/>
      </w:r>
    </w:p>
    <w:p>
      <w:pPr>
        <w:pStyle w:val="Heading2"/>
        <w:spacing w:after="120" w:before="240"/>
      </w:pPr>
      <w:r>
        <w:rPr>
          <w:rFonts w:ascii="Arial" w:cs="Arial" w:eastAsia="Arial" w:hAnsi="Arial"/>
          <w:b/>
          <w:bCs/>
          <w:color w:val="2E75B6"/>
          <w:sz w:val="24"/>
          <w:szCs w:val="24"/>
        </w:rPr>
        <w:t xml:space="preserve">4.1 Etat de la baseline P7Z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Metrique</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Entrees baseline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8 091 (54 pays x 15 annees x piliers)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Gap predictif moyen</w:t>
            </w:r>
          </w:p>
        </w:tc>
        <w:tc>
          <w:tcPr>
            <w:tcW w:type="dxa" w:w="6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0.34 (seuil PARTIAL : &lt;= 0.35 — eligible)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Maturite execution</w:t>
            </w:r>
          </w:p>
        </w:tc>
        <w:tc>
          <w:tcPr>
            <w:tcW w:type="dxa" w:w="6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0.52 (seuil PARTIAL : &gt;= 0.40 — eligible)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Incertitude calibration</w:t>
            </w:r>
          </w:p>
        </w:tc>
        <w:tc>
          <w:tcPr>
            <w:tcW w:type="dxa" w:w="6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0.185 (seuil PARTIAL : &lt;= 0.50 — eligible)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cost_calibration_status</w:t>
            </w:r>
          </w:p>
        </w:tc>
        <w:tc>
          <w:tcPr>
            <w:tcW w:type="dxa" w:w="6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PROVISIONAL — verrou doctrinal delibere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Statut activation</w:t>
            </w:r>
          </w:p>
        </w:tc>
        <w:tc>
          <w:tcPr>
            <w:tcW w:type="dxa" w:w="6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PENDING_SCIENTIFIC_COMMITTEE_VALIDATION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Activation prevue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Avril 2027 — premiere revue Comite Scientifique OSA</w:t>
            </w:r>
          </w:p>
        </w:tc>
      </w:tr>
    </w:tbl>
    <w:p>
      <w:pPr>
        <w:spacing w:after="80"/>
      </w:pPr>
      <w:r>
        <w:t xml:space="preserve"/>
      </w:r>
    </w:p>
    <w:p>
      <w:pPr>
        <w:pStyle w:val="Heading2"/>
        <w:spacing w:after="120" w:before="240"/>
      </w:pPr>
      <w:r>
        <w:rPr>
          <w:rFonts w:ascii="Arial" w:cs="Arial" w:eastAsia="Arial" w:hAnsi="Arial"/>
          <w:b/>
          <w:bCs/>
          <w:color w:val="2E75B6"/>
          <w:sz w:val="24"/>
          <w:szCs w:val="24"/>
        </w:rPr>
        <w:t xml:space="preserve">4.2 Endpoint GET /opendata/predictive-status</w:t>
      </w:r>
    </w:p>
    <w:p>
      <w:pPr>
        <w:spacing w:after="120"/>
        <w:jc w:val="both"/>
      </w:pPr>
      <w:r>
        <w:rPr>
          <w:rFonts w:ascii="Arial" w:cs="Arial" w:eastAsia="Arial" w:hAnsi="Arial"/>
          <w:b w:val="false"/>
          <w:bCs w:val="false"/>
          <w:i w:val="false"/>
          <w:iCs w:val="false"/>
          <w:color w:val="000000"/>
          <w:sz w:val="22"/>
          <w:szCs w:val="22"/>
        </w:rPr>
        <w:t xml:space="preserve">Endpoint public exposant le statut P7Z de maniere transparente. Les partenaires institutionnels peuvent verifier l etat de la couche predictive et les conditions de son activation.</w:t>
      </w:r>
    </w:p>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5. Commits Sprint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Commit</w:t>
            </w:r>
          </w:p>
        </w:tc>
        <w:tc>
          <w:tcPr>
            <w:tcW w:type="dxa" w:w="7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17a9c14</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Classification indicator_group 206 indicateurs — taxonomie 10 piliers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afec365</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project_family_label bilingue EN/FR — 10 familles traduites UTF-8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d960ed6</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Portail : publication_status depuis rf.publication_policy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138ee58</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.gitignore : exclusions env.production et audit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33f0d3f</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Migration TRAJECTOIRE PNUM + PMON + PECO — 3 nouveaux indicateurs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1a9af69</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Grille tarifaire differenciee — rf.affiliation_tier_pricing 5 segments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6d108f2</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P9 gouvernance executive — vue 26 KPIs + endpoint /opendata/governance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b9f18f5</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P7Z couche predictive — statut + endpoint /opendata/predictive-status</w:t>
            </w:r>
          </w:p>
        </w:tc>
      </w:tr>
    </w:tbl>
    <w:p>
      <w:pPr>
        <w:spacing w:after="80"/>
      </w:pPr>
      <w:r>
        <w:t xml:space="preserve"/>
      </w:r>
    </w:p>
    <w:p>
      <w:r>
        <w:br w:type="page"/>
      </w:r>
    </w:p>
    <w:p>
      <w:pPr>
        <w:pStyle w:val="Heading1"/>
        <w:pBdr>
          <w:bottom w:val="single" w:color="C8A84B" w:sz="6" w:space="1"/>
        </w:pBdr>
        <w:spacing w:after="160" w:before="320"/>
      </w:pPr>
      <w:r>
        <w:rPr>
          <w:rFonts w:ascii="Arial" w:cs="Arial" w:eastAsia="Arial" w:hAnsi="Arial"/>
          <w:b/>
          <w:bCs/>
          <w:color w:val="1B3A6B"/>
          <w:sz w:val="30"/>
          <w:szCs w:val="30"/>
        </w:rPr>
        <w:t xml:space="preserve">6. Horizon Sprint 23</w:t>
      </w:r>
    </w:p>
    <w:p>
      <w:pPr>
        <w:spacing w:after="120"/>
        <w:jc w:val="both"/>
      </w:pPr>
      <w:r>
        <w:rPr>
          <w:rFonts w:ascii="Arial" w:cs="Arial" w:eastAsia="Arial" w:hAnsi="Arial"/>
          <w:b w:val="false"/>
          <w:bCs w:val="false"/>
          <w:i w:val="false"/>
          <w:iCs w:val="false"/>
          <w:color w:val="000000"/>
          <w:sz w:val="22"/>
          <w:szCs w:val="22"/>
        </w:rPr>
        <w:t xml:space="preserve">Sprint 23 ouvre le cycle de collecte 2025 — premiere collecte institutionnelle post-rodage. Les items reportes de Sprint 22 sont integres en priorite.</w:t>
      </w:r>
    </w:p>
    <w:p>
      <w:pPr>
        <w:spacing w:after="80"/>
      </w:pPr>
      <w:r>
        <w:t xml:space="preserve"/>
      </w:r>
    </w:p>
    <w:p>
      <w:pPr>
        <w:pStyle w:val="Heading2"/>
        <w:spacing w:after="120" w:before="240"/>
      </w:pPr>
      <w:r>
        <w:rPr>
          <w:rFonts w:ascii="Arial" w:cs="Arial" w:eastAsia="Arial" w:hAnsi="Arial"/>
          <w:b/>
          <w:bCs/>
          <w:color w:val="2E75B6"/>
          <w:sz w:val="24"/>
          <w:szCs w:val="24"/>
        </w:rPr>
        <w:t xml:space="preserve">6.1 Items reportes de Sprint 22</w:t>
      </w:r>
    </w:p>
    <w:p>
      <w:pPr>
        <w:pStyle w:val="ListParagraph"/>
        <w:numPr>
          <w:ilvl w:val="0"/>
          <w:numId w:val="2"/>
        </w:numPr>
        <w:spacing w:after="60"/>
      </w:pPr>
      <w:r>
        <w:rPr>
          <w:rFonts w:ascii="Arial" w:cs="Arial" w:eastAsia="Arial" w:hAnsi="Arial"/>
          <w:sz w:val="22"/>
          <w:szCs w:val="22"/>
        </w:rPr>
        <w:t xml:space="preserve">PENV_FOREST_SOVEREIGNTY : fetcher GFW annuel reel + correction valeur aberrante ENV_FOR 2024</w:t>
      </w:r>
    </w:p>
    <w:p>
      <w:pPr>
        <w:pStyle w:val="ListParagraph"/>
        <w:numPr>
          <w:ilvl w:val="0"/>
          <w:numId w:val="2"/>
        </w:numPr>
        <w:spacing w:after="60"/>
      </w:pPr>
      <w:r>
        <w:rPr>
          <w:rFonts w:ascii="Arial" w:cs="Arial" w:eastAsia="Arial" w:hAnsi="Arial"/>
          <w:sz w:val="22"/>
          <w:szCs w:val="22"/>
        </w:rPr>
        <w:t xml:space="preserve">PMIN_SMUGGLING_SIGNAL_VALUE Option B : fetcher World Bank Pink Sheet prix matieres premieres</w:t>
      </w:r>
    </w:p>
    <w:p>
      <w:pPr>
        <w:spacing w:after="80"/>
      </w:pPr>
      <w:r>
        <w:t xml:space="preserve"/>
      </w:r>
    </w:p>
    <w:p>
      <w:pPr>
        <w:pStyle w:val="Heading2"/>
        <w:spacing w:after="120" w:before="240"/>
      </w:pPr>
      <w:r>
        <w:rPr>
          <w:rFonts w:ascii="Arial" w:cs="Arial" w:eastAsia="Arial" w:hAnsi="Arial"/>
          <w:b/>
          <w:bCs/>
          <w:color w:val="2E75B6"/>
          <w:sz w:val="24"/>
          <w:szCs w:val="24"/>
        </w:rPr>
        <w:t xml:space="preserve">6.2 Collecte donnees 2025</w:t>
      </w:r>
    </w:p>
    <w:p>
      <w:pPr>
        <w:pStyle w:val="ListParagraph"/>
        <w:numPr>
          <w:ilvl w:val="0"/>
          <w:numId w:val="2"/>
        </w:numPr>
        <w:spacing w:after="60"/>
      </w:pPr>
      <w:r>
        <w:rPr>
          <w:rFonts w:ascii="Arial" w:cs="Arial" w:eastAsia="Arial" w:hAnsi="Arial"/>
          <w:sz w:val="22"/>
          <w:szCs w:val="22"/>
        </w:rPr>
        <w:t xml:space="preserve">World Bank WDI — mise a jour annuelle 2025</w:t>
      </w:r>
    </w:p>
    <w:p>
      <w:pPr>
        <w:pStyle w:val="ListParagraph"/>
        <w:numPr>
          <w:ilvl w:val="0"/>
          <w:numId w:val="2"/>
        </w:numPr>
        <w:spacing w:after="60"/>
      </w:pPr>
      <w:r>
        <w:rPr>
          <w:rFonts w:ascii="Arial" w:cs="Arial" w:eastAsia="Arial" w:hAnsi="Arial"/>
          <w:sz w:val="22"/>
          <w:szCs w:val="22"/>
        </w:rPr>
        <w:t xml:space="preserve">IMF WEO — edition avril 2027</w:t>
      </w:r>
    </w:p>
    <w:p>
      <w:pPr>
        <w:pStyle w:val="ListParagraph"/>
        <w:numPr>
          <w:ilvl w:val="0"/>
          <w:numId w:val="2"/>
        </w:numPr>
        <w:spacing w:after="60"/>
      </w:pPr>
      <w:r>
        <w:rPr>
          <w:rFonts w:ascii="Arial" w:cs="Arial" w:eastAsia="Arial" w:hAnsi="Arial"/>
          <w:sz w:val="22"/>
          <w:szCs w:val="22"/>
        </w:rPr>
        <w:t xml:space="preserve">FAO — donnees agricoles et alimentaires 2025</w:t>
      </w:r>
    </w:p>
    <w:p>
      <w:pPr>
        <w:pStyle w:val="ListParagraph"/>
        <w:numPr>
          <w:ilvl w:val="0"/>
          <w:numId w:val="2"/>
        </w:numPr>
        <w:spacing w:after="60"/>
      </w:pPr>
      <w:r>
        <w:rPr>
          <w:rFonts w:ascii="Arial" w:cs="Arial" w:eastAsia="Arial" w:hAnsi="Arial"/>
          <w:sz w:val="22"/>
          <w:szCs w:val="22"/>
        </w:rPr>
        <w:t xml:space="preserve">ACLED — evenements conflictuels 2025</w:t>
      </w:r>
    </w:p>
    <w:p>
      <w:pPr>
        <w:pStyle w:val="ListParagraph"/>
        <w:numPr>
          <w:ilvl w:val="0"/>
          <w:numId w:val="2"/>
        </w:numPr>
        <w:spacing w:after="60"/>
      </w:pPr>
      <w:r>
        <w:rPr>
          <w:rFonts w:ascii="Arial" w:cs="Arial" w:eastAsia="Arial" w:hAnsi="Arial"/>
          <w:sz w:val="22"/>
          <w:szCs w:val="22"/>
        </w:rPr>
        <w:t xml:space="preserve">SIPRI — depenses militaires 2025</w:t>
      </w:r>
    </w:p>
    <w:p>
      <w:pPr>
        <w:spacing w:after="80"/>
      </w:pPr>
      <w:r>
        <w:t xml:space="preserve"/>
      </w:r>
    </w:p>
    <w:p>
      <w:pPr>
        <w:pStyle w:val="Heading2"/>
        <w:spacing w:after="120" w:before="240"/>
      </w:pPr>
      <w:r>
        <w:rPr>
          <w:rFonts w:ascii="Arial" w:cs="Arial" w:eastAsia="Arial" w:hAnsi="Arial"/>
          <w:b/>
          <w:bCs/>
          <w:color w:val="2E75B6"/>
          <w:sz w:val="24"/>
          <w:szCs w:val="24"/>
        </w:rPr>
        <w:t xml:space="preserve">6.3 Pipeline 2025</w:t>
      </w:r>
    </w:p>
    <w:p>
      <w:pPr>
        <w:pStyle w:val="ListParagraph"/>
        <w:numPr>
          <w:ilvl w:val="0"/>
          <w:numId w:val="2"/>
        </w:numPr>
        <w:spacing w:after="60"/>
      </w:pPr>
      <w:r>
        <w:rPr>
          <w:rFonts w:ascii="Arial" w:cs="Arial" w:eastAsia="Arial" w:hAnsi="Arial"/>
          <w:sz w:val="22"/>
          <w:szCs w:val="22"/>
        </w:rPr>
        <w:t xml:space="preserve">Fetchers L1 — 54 pays, annee 2025</w:t>
      </w:r>
    </w:p>
    <w:p>
      <w:pPr>
        <w:pStyle w:val="ListParagraph"/>
        <w:numPr>
          <w:ilvl w:val="0"/>
          <w:numId w:val="2"/>
        </w:numPr>
        <w:spacing w:after="60"/>
      </w:pPr>
      <w:r>
        <w:rPr>
          <w:rFonts w:ascii="Arial" w:cs="Arial" w:eastAsia="Arial" w:hAnsi="Arial"/>
          <w:sz w:val="22"/>
          <w:szCs w:val="22"/>
        </w:rPr>
        <w:t xml:space="preserve">Imputer v3 — L1 -&gt; L2 annee 2025</w:t>
      </w:r>
    </w:p>
    <w:p>
      <w:pPr>
        <w:pStyle w:val="ListParagraph"/>
        <w:numPr>
          <w:ilvl w:val="0"/>
          <w:numId w:val="2"/>
        </w:numPr>
        <w:spacing w:after="60"/>
      </w:pPr>
      <w:r>
        <w:rPr>
          <w:rFonts w:ascii="Arial" w:cs="Arial" w:eastAsia="Arial" w:hAnsi="Arial"/>
          <w:sz w:val="22"/>
          <w:szCs w:val="22"/>
        </w:rPr>
        <w:t xml:space="preserve">Normalisation — L2 -&gt; L3 annee 2025</w:t>
      </w:r>
    </w:p>
    <w:p>
      <w:pPr>
        <w:pStyle w:val="ListParagraph"/>
        <w:numPr>
          <w:ilvl w:val="0"/>
          <w:numId w:val="2"/>
        </w:numPr>
        <w:spacing w:after="60"/>
      </w:pPr>
      <w:r>
        <w:rPr>
          <w:rFonts w:ascii="Arial" w:cs="Arial" w:eastAsia="Arial" w:hAnsi="Arial"/>
          <w:sz w:val="22"/>
          <w:szCs w:val="22"/>
        </w:rPr>
        <w:t xml:space="preserve">Recalcul pillar_scores et ISA 2025</w:t>
      </w:r>
    </w:p>
    <w:p>
      <w:pPr>
        <w:pStyle w:val="ListParagraph"/>
        <w:numPr>
          <w:ilvl w:val="0"/>
          <w:numId w:val="2"/>
        </w:numPr>
        <w:spacing w:after="60"/>
      </w:pPr>
      <w:r>
        <w:rPr>
          <w:rFonts w:ascii="Arial" w:cs="Arial" w:eastAsia="Arial" w:hAnsi="Arial"/>
          <w:sz w:val="22"/>
          <w:szCs w:val="22"/>
        </w:rPr>
        <w:t xml:space="preserve">Mise a jour pub.mv_isa_country_rankings</w:t>
      </w:r>
    </w:p>
    <w:p>
      <w:pPr>
        <w:spacing w:after="80"/>
      </w:pPr>
      <w:r>
        <w:t xml:space="preserve"/>
      </w:r>
    </w:p>
    <w:p>
      <w:r>
        <w:br w:type="page"/>
      </w:r>
    </w:p>
    <w:p>
      <w:pPr>
        <w:spacing w:after="400"/>
      </w:pPr>
      <w:r>
        <w:t xml:space="preserve"/>
      </w:r>
    </w:p>
    <w:p>
      <w:pPr>
        <w:pBdr>
          <w:top w:val="single" w:color="C8A84B" w:sz="4"/>
        </w:pBdr>
        <w:spacing w:after="120" w:before="240"/>
        <w:jc w:val="center"/>
      </w:pPr>
      <w:r>
        <w:rPr>
          <w:rFonts w:ascii="Arial" w:cs="Arial" w:eastAsia="Arial" w:hAnsi="Arial"/>
          <w:b/>
          <w:bCs/>
          <w:color w:val="1B3A6B"/>
          <w:sz w:val="22"/>
          <w:szCs w:val="22"/>
        </w:rPr>
        <w:t xml:space="preserve">OSA Observatory — Observatoire de la Souverainete Africaine</w:t>
      </w:r>
    </w:p>
    <w:p>
      <w:pPr>
        <w:spacing w:after="120"/>
        <w:jc w:val="center"/>
      </w:pPr>
      <w:r>
        <w:rPr>
          <w:rFonts w:ascii="Arial" w:cs="Arial" w:eastAsia="Arial" w:hAnsi="Arial"/>
          <w:i/>
          <w:iCs/>
          <w:color w:val="595959"/>
          <w:sz w:val="20"/>
          <w:szCs w:val="20"/>
        </w:rPr>
        <w:t xml:space="preserve">Doctrine consequentialiste · Faits comportementaux · Jamais des perceptions</w:t>
      </w:r>
    </w:p>
    <w:p>
      <w:pPr>
        <w:spacing w:after="120"/>
        <w:jc w:val="center"/>
      </w:pPr>
      <w:r>
        <w:rPr>
          <w:rFonts w:ascii="Arial" w:cs="Arial" w:eastAsia="Arial" w:hAnsi="Arial"/>
          <w:color w:val="2E75B6"/>
          <w:sz w:val="20"/>
          <w:szCs w:val="20"/>
        </w:rPr>
        <w:t xml:space="preserve">open.osa-observatory.africa  ·  contact@osa-observatory.africa</w:t>
      </w:r>
    </w:p>
    <w:p>
      <w:pPr>
        <w:jc w:val="center"/>
      </w:pPr>
      <w:r>
        <w:rPr>
          <w:rFonts w:ascii="Arial" w:cs="Arial" w:eastAsia="Arial" w:hAnsi="Arial"/>
          <w:color w:val="595959"/>
          <w:sz w:val="20"/>
          <w:szCs w:val="20"/>
        </w:rPr>
        <w:t xml:space="preserve">Rapport Sprint 22 — 12 juin 2026 — Theophile Bakang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2026-06-12T15:33:22.290Z</dcterms:created>
  <dcterms:modified xsi:type="dcterms:W3CDTF">2026-06-12T15:33:22.303Z</dcterms:modified>
</cp:coreProperties>
</file>

<file path=docProps/custom.xml><?xml version="1.0" encoding="utf-8"?>
<Properties xmlns="http://schemas.openxmlformats.org/officeDocument/2006/custom-properties" xmlns:vt="http://schemas.openxmlformats.org/officeDocument/2006/docPropsVTypes"/>
</file>