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OBSERVATOIRE DE LA SOUVERAINETÉ AFRICAINE — MATRICE DE ZACHMAN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5090"/>
          <w:sz w:val="22"/>
          <w:szCs w:val="22"/>
        </w:rPr>
        <w:t xml:space="preserve">Architecture système ISA — 6 perspectives × 6 dimensions — Sprint 11 — 22 mai 2026</w:t>
      </w:r>
    </w:p>
    <w:p>
      <w:pPr>
        <w:spacing w:after="60" w:before="6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66"/>
        <w:gridCol w:w="2366"/>
        <w:gridCol w:w="2366"/>
        <w:gridCol w:w="2366"/>
        <w:gridCol w:w="2366"/>
        <w:gridCol w:w="23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WHAT
Quoi — Données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HOW
Comment — Pipeline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WHERE
Où — Infrastructure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WHO
Qui — Acteurs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WHEN
Quand — Temporalité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WHY
Pourquoi — Doctrine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Scope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EE8FF"/>
                <w:sz w:val="13"/>
                <w:szCs w:val="13"/>
              </w:rPr>
              <w:t xml:space="preserve">Contextuel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3"/>
                <w:szCs w:val="13"/>
              </w:rPr>
              <w:t xml:space="preserve">54 pays africains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3"/>
                <w:szCs w:val="13"/>
              </w:rPr>
              <w:t xml:space="preserve">10 piliers souverains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3"/>
                <w:szCs w:val="13"/>
              </w:rPr>
              <w:t xml:space="preserve">237 indicateurs actifs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3"/>
                <w:szCs w:val="13"/>
              </w:rPr>
              <w:t xml:space="preserve">Série 2010–2024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3"/>
                <w:szCs w:val="13"/>
              </w:rPr>
              <w:t xml:space="preserve">Pipeline L1→L2→L3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3"/>
                <w:szCs w:val="13"/>
              </w:rPr>
              <w:t xml:space="preserve">Couche analytique P7A→P7Z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3"/>
                <w:szCs w:val="13"/>
              </w:rPr>
              <w:t xml:space="preserve">Publication P8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3"/>
                <w:szCs w:val="13"/>
              </w:rPr>
              <w:t xml:space="preserve">API REST publique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3"/>
                <w:szCs w:val="13"/>
              </w:rPr>
              <w:t xml:space="preserve">PostgreSQL 17 (Docker)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3"/>
                <w:szCs w:val="13"/>
              </w:rPr>
              <w:t xml:space="preserve">Repo GitHub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3"/>
                <w:szCs w:val="13"/>
              </w:rPr>
              <w:t xml:space="preserve">API port 8000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3"/>
                <w:szCs w:val="13"/>
              </w:rPr>
              <w:t xml:space="preserve">Docs institutionnels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3"/>
                <w:szCs w:val="13"/>
              </w:rPr>
              <w:t xml:space="preserve">54 États africains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3"/>
                <w:szCs w:val="13"/>
              </w:rPr>
              <w:t xml:space="preserve">UA / CEA / BAD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3"/>
                <w:szCs w:val="13"/>
              </w:rPr>
              <w:t xml:space="preserve">Conseil scientifique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3"/>
                <w:szCs w:val="13"/>
              </w:rPr>
              <w:t xml:space="preserve">Équipe technique OSA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3"/>
                <w:szCs w:val="13"/>
              </w:rPr>
              <w:t xml:space="preserve">Collecte : annuelle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3"/>
                <w:szCs w:val="13"/>
              </w:rPr>
              <w:t xml:space="preserve">Publication : cycle 2020–2024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3"/>
                <w:szCs w:val="13"/>
              </w:rPr>
              <w:t xml:space="preserve">Sprint : ~1 semaine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3"/>
                <w:szCs w:val="13"/>
              </w:rPr>
              <w:t xml:space="preserve">Lancement : sept. 2027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3"/>
                <w:szCs w:val="13"/>
              </w:rPr>
              <w:t xml:space="preserve">Souveraineté africaine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3"/>
                <w:szCs w:val="13"/>
              </w:rPr>
              <w:t xml:space="preserve">Intelligence endogène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3"/>
                <w:szCs w:val="13"/>
              </w:rPr>
              <w:t xml:space="preserve">Trajectoire, pas classement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3"/>
                <w:szCs w:val="13"/>
              </w:rPr>
              <w:t xml:space="preserve">Doctrine ISA v1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Concept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EE8FF"/>
                <w:sz w:val="13"/>
                <w:szCs w:val="13"/>
              </w:rPr>
              <w:t xml:space="preserve">Conceptuel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090"/>
                <w:sz w:val="13"/>
                <w:szCs w:val="13"/>
              </w:rPr>
              <w:t xml:space="preserve">rf.indicators (237 actifs)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090"/>
                <w:sz w:val="13"/>
                <w:szCs w:val="13"/>
              </w:rPr>
              <w:t xml:space="preserve">rf.pillars (10)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090"/>
                <w:sz w:val="13"/>
                <w:szCs w:val="13"/>
              </w:rPr>
              <w:t xml:space="preserve">rf.countries (54)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090"/>
                <w:sz w:val="13"/>
                <w:szCs w:val="13"/>
              </w:rPr>
              <w:t xml:space="preserve">ma.indicator_values (L1–L3)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090"/>
                <w:sz w:val="13"/>
                <w:szCs w:val="13"/>
              </w:rPr>
              <w:t xml:space="preserve">Collecte → Imputation MICE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090"/>
                <w:sz w:val="13"/>
                <w:szCs w:val="13"/>
              </w:rPr>
              <w:t xml:space="preserve">Normalisation Min-Max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090"/>
                <w:sz w:val="13"/>
                <w:szCs w:val="13"/>
              </w:rPr>
              <w:t xml:space="preserve">Scoring P7B→P7D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090"/>
                <w:sz w:val="13"/>
                <w:szCs w:val="13"/>
              </w:rPr>
              <w:t xml:space="preserve">Publication P7E→P8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090"/>
                <w:sz w:val="13"/>
                <w:szCs w:val="13"/>
              </w:rPr>
              <w:t xml:space="preserve">Schémas : rf, ma, mg, mm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090"/>
                <w:sz w:val="13"/>
                <w:szCs w:val="13"/>
              </w:rPr>
              <w:t xml:space="preserve">collect, osa (6 schémas)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090"/>
                <w:sz w:val="13"/>
                <w:szCs w:val="13"/>
              </w:rPr>
              <w:t xml:space="preserve">204 tables base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090"/>
                <w:sz w:val="13"/>
                <w:szCs w:val="13"/>
              </w:rPr>
              <w:t xml:space="preserve">GitHub Bath4856/osa-observatory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090"/>
                <w:sz w:val="13"/>
                <w:szCs w:val="13"/>
              </w:rPr>
              <w:t xml:space="preserve">Secrétariat technique OSA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090"/>
                <w:sz w:val="13"/>
                <w:szCs w:val="13"/>
              </w:rPr>
              <w:t xml:space="preserve">Conseil scientifique panafricain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090"/>
                <w:sz w:val="13"/>
                <w:szCs w:val="13"/>
              </w:rPr>
              <w:t xml:space="preserve">Comité gouvernance stratégique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090"/>
                <w:sz w:val="13"/>
                <w:szCs w:val="13"/>
              </w:rPr>
              <w:t xml:space="preserve">Fournisseurs données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090"/>
                <w:sz w:val="13"/>
                <w:szCs w:val="13"/>
              </w:rPr>
              <w:t xml:space="preserve">L1 : collecte sources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090"/>
                <w:sz w:val="13"/>
                <w:szCs w:val="13"/>
              </w:rPr>
              <w:t xml:space="preserve">L2 : imputation post-L1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090"/>
                <w:sz w:val="13"/>
                <w:szCs w:val="13"/>
              </w:rPr>
              <w:t xml:space="preserve">L3 : normalisation bornes gelées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090"/>
                <w:sz w:val="13"/>
                <w:szCs w:val="13"/>
              </w:rPr>
              <w:t xml:space="preserve">P7E : cycle publication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090"/>
                <w:sz w:val="13"/>
                <w:szCs w:val="13"/>
              </w:rPr>
              <w:t xml:space="preserve">Doctrine ISA v1 — 5 axiomes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090"/>
                <w:sz w:val="13"/>
                <w:szCs w:val="13"/>
              </w:rPr>
              <w:t xml:space="preserve">Approche conséquentialiste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090"/>
                <w:sz w:val="13"/>
                <w:szCs w:val="13"/>
              </w:rPr>
              <w:t xml:space="preserve">Absence = signal souverain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090"/>
                <w:sz w:val="13"/>
                <w:szCs w:val="13"/>
              </w:rPr>
              <w:t xml:space="preserve">Score multicouche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Logical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EE8FF"/>
                <w:sz w:val="13"/>
                <w:szCs w:val="13"/>
              </w:rPr>
              <w:t xml:space="preserve">Logique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3"/>
                <w:szCs w:val="13"/>
              </w:rPr>
              <w:t xml:space="preserve">L1 : raw_value (77 642 lignes)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3"/>
                <w:szCs w:val="13"/>
              </w:rPr>
              <w:t xml:space="preserve">L2 : processed_value imputé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3"/>
                <w:szCs w:val="13"/>
              </w:rPr>
              <w:t xml:space="preserve">L3 : score normalisé [0,1]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3"/>
                <w:szCs w:val="13"/>
              </w:rPr>
              <w:t xml:space="preserve">P7 : scores dynamiques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3"/>
                <w:szCs w:val="13"/>
              </w:rPr>
              <w:t xml:space="preserve">MICE par pilier (imputer_v3)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3"/>
                <w:szCs w:val="13"/>
              </w:rPr>
              <w:t xml:space="preserve">Min-Max bornes gelées v1_2026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3"/>
                <w:szCs w:val="13"/>
              </w:rPr>
              <w:t xml:space="preserve">Poids dynamiques P7B6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3"/>
                <w:szCs w:val="13"/>
              </w:rPr>
              <w:t xml:space="preserve">Probabilités P7Z (8 091)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3"/>
                <w:szCs w:val="13"/>
              </w:rPr>
              <w:t xml:space="preserve">ma.indicator_values (partitionné)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3"/>
                <w:szCs w:val="13"/>
              </w:rPr>
              <w:t xml:space="preserve">rf.normalization_bounds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3"/>
                <w:szCs w:val="13"/>
              </w:rPr>
              <w:t xml:space="preserve">ma.mv_isa_executive_master_board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3"/>
                <w:szCs w:val="13"/>
              </w:rPr>
              <w:t xml:space="preserve">rf.isa_p7z_baseline_registry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3"/>
                <w:szCs w:val="13"/>
              </w:rPr>
              <w:t xml:space="preserve">source_id → collect.source_registry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3"/>
                <w:szCs w:val="13"/>
              </w:rPr>
              <w:t xml:space="preserve">missing_reason (CONFLICT_FRAGILITY)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3"/>
                <w:szCs w:val="13"/>
              </w:rPr>
              <w:t xml:space="preserve">doctrine_compliance_flag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3"/>
                <w:szCs w:val="13"/>
              </w:rPr>
              <w:t xml:space="preserve">rf.indicator_versions (traçabilité)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3"/>
                <w:szCs w:val="13"/>
              </w:rPr>
              <w:t xml:space="preserve">Bornes gelées : période 2010–2020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3"/>
                <w:szCs w:val="13"/>
              </w:rPr>
              <w:t xml:space="preserve">Publication officielle : 2020–2024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3"/>
                <w:szCs w:val="13"/>
              </w:rPr>
              <w:t xml:space="preserve">Baseline P7Z : 2026-05-15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3"/>
                <w:szCs w:val="13"/>
              </w:rPr>
              <w:t xml:space="preserve">Convergence PRES : &lt; 0,8 an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3"/>
                <w:szCs w:val="13"/>
              </w:rPr>
              <w:t xml:space="preserve">ON CONFLICT DO NOTHING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3"/>
                <w:szCs w:val="13"/>
              </w:rPr>
              <w:t xml:space="preserve">Immuabilité rf (trigger patché)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3"/>
                <w:szCs w:val="13"/>
              </w:rPr>
              <w:t xml:space="preserve">PROVISIONAL P7Z documenté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3"/>
                <w:szCs w:val="13"/>
              </w:rPr>
              <w:t xml:space="preserve">ISA_STRUCTURAL_GAP doctrine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Physical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EE8FF"/>
                <w:sz w:val="13"/>
                <w:szCs w:val="13"/>
              </w:rPr>
              <w:t xml:space="preserve">Physique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3"/>
                <w:szCs w:val="13"/>
              </w:rPr>
              <w:t xml:space="preserve">6 schémas PostgreSQL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3"/>
                <w:szCs w:val="13"/>
              </w:rPr>
              <w:t xml:space="preserve">rf : 68 tables référentiel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3"/>
                <w:szCs w:val="13"/>
              </w:rPr>
              <w:t xml:space="preserve">ma : 53 tables analytiques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3"/>
                <w:szCs w:val="13"/>
              </w:rPr>
              <w:t xml:space="preserve">mg : 22 tables gouvernance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3"/>
                <w:szCs w:val="13"/>
              </w:rPr>
              <w:t xml:space="preserve">run_full_pipeline.ps1 (8 options)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3"/>
                <w:szCs w:val="13"/>
              </w:rPr>
              <w:t xml:space="preserve">py -3.12 uvicorn api.main:app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3"/>
                <w:szCs w:val="13"/>
              </w:rPr>
              <w:t xml:space="preserve">collect.source_registry (fetchers)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3"/>
                <w:szCs w:val="13"/>
              </w:rPr>
              <w:t xml:space="preserve">psql + scripts SQL atomiques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3"/>
                <w:szCs w:val="13"/>
              </w:rPr>
              <w:t xml:space="preserve">Docker container 'db'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3"/>
                <w:szCs w:val="13"/>
              </w:rPr>
              <w:t xml:space="preserve">Host 127.0.0.1:5432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3"/>
                <w:szCs w:val="13"/>
              </w:rPr>
              <w:t xml:space="preserve">API port 8000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3"/>
                <w:szCs w:val="13"/>
              </w:rPr>
              <w:t xml:space="preserve">G:\osa-observatory (repo local)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3"/>
                <w:szCs w:val="13"/>
              </w:rPr>
              <w:t xml:space="preserve">Python 3.12 64-bit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3"/>
                <w:szCs w:val="13"/>
              </w:rPr>
              <w:t xml:space="preserve">FastAPI + uvicorn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3"/>
                <w:szCs w:val="13"/>
              </w:rPr>
              <w:t xml:space="preserve">psycopg2-binary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3"/>
                <w:szCs w:val="13"/>
              </w:rPr>
              <w:t xml:space="preserve">Node.js/docx (rapports Word)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3"/>
                <w:szCs w:val="13"/>
              </w:rPr>
              <w:t xml:space="preserve">Recalcul L3 historique : 37,5s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3"/>
                <w:szCs w:val="13"/>
              </w:rPr>
              <w:t xml:space="preserve">Refresh vues mat. : 206,7s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3"/>
                <w:szCs w:val="13"/>
              </w:rPr>
              <w:t xml:space="preserve">Pipeline complet : ~10 min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3"/>
                <w:szCs w:val="13"/>
              </w:rPr>
              <w:t xml:space="preserve">Audit pipeline : à chaque sprint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3"/>
                <w:szCs w:val="13"/>
              </w:rPr>
              <w:t xml:space="preserve">PostgreSQL 17 — contraintes DB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3"/>
                <w:szCs w:val="13"/>
              </w:rPr>
              <w:t xml:space="preserve">6 contraintes intégrité L1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3"/>
                <w:szCs w:val="13"/>
              </w:rPr>
              <w:t xml:space="preserve">Trigger trg_protect_indicators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3"/>
                <w:szCs w:val="13"/>
              </w:rPr>
              <w:t xml:space="preserve">CRLF→LF (Git Windows)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Detailed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EE8FF"/>
                <w:sz w:val="13"/>
                <w:szCs w:val="13"/>
              </w:rPr>
              <w:t xml:space="preserve">Détaillé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3"/>
                <w:szCs w:val="13"/>
              </w:rPr>
              <w:t xml:space="preserve">P7A : 228 indicateurs classifiés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3"/>
                <w:szCs w:val="13"/>
              </w:rPr>
              <w:t xml:space="preserve">13 codes sémantiques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3"/>
                <w:szCs w:val="13"/>
              </w:rPr>
              <w:t xml:space="preserve">P7Z : 813 HIGH_PROBABILITY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3"/>
                <w:szCs w:val="13"/>
              </w:rPr>
              <w:t xml:space="preserve">3 WGI désactivés (Sprint 10)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3"/>
                <w:szCs w:val="13"/>
              </w:rPr>
              <w:t xml:space="preserve">P7B : 5 poids dynamiques/indicateur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3"/>
                <w:szCs w:val="13"/>
              </w:rPr>
              <w:t xml:space="preserve">P7E : ISA_P7E_V1 gelé (79 058 lignes)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3"/>
                <w:szCs w:val="13"/>
              </w:rPr>
              <w:t xml:space="preserve">P7I : 1 RED (ETH/PMON/2022)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3"/>
                <w:szCs w:val="13"/>
              </w:rPr>
              <w:t xml:space="preserve">P7Z Phase 2 : 618 CONV. IMMINENT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3"/>
                <w:szCs w:val="13"/>
              </w:rPr>
              <w:t xml:space="preserve">rf.semantic_governance_matrix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3"/>
                <w:szCs w:val="13"/>
              </w:rPr>
              <w:t xml:space="preserve">ma.v_isa_early_warning_engine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3"/>
                <w:szCs w:val="13"/>
              </w:rPr>
              <w:t xml:space="preserve">ma.isa_p7z_baseline_registry (rf)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3"/>
                <w:szCs w:val="13"/>
              </w:rPr>
              <w:t xml:space="preserve">pub.* (10 vues publication)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3"/>
                <w:szCs w:val="13"/>
              </w:rPr>
              <w:t xml:space="preserve">rf.indicator_versions (4 entrées)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3"/>
                <w:szCs w:val="13"/>
              </w:rPr>
              <w:t xml:space="preserve">doctrine_compliance_flag = 0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3"/>
                <w:szCs w:val="13"/>
              </w:rPr>
              <w:t xml:space="preserve">source_id traçable 100% L1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3"/>
                <w:szCs w:val="13"/>
              </w:rPr>
              <w:t xml:space="preserve">missing_reason classifié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3"/>
                <w:szCs w:val="13"/>
              </w:rPr>
              <w:t xml:space="preserve">Sprint 10 : 22 mai 2026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3"/>
                <w:szCs w:val="13"/>
              </w:rPr>
              <w:t xml:space="preserve">DOCTRINE_COMPLIANCE : 3→0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3"/>
                <w:szCs w:val="13"/>
              </w:rPr>
              <w:t xml:space="preserve">Distribution AMAR 2022 : 0 RED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3"/>
                <w:szCs w:val="13"/>
              </w:rPr>
              <w:t xml:space="preserve">Lancement observatoire : sept. 2026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3"/>
                <w:szCs w:val="13"/>
              </w:rPr>
              <w:t xml:space="preserve">Axiome 2 raffiné : observabilité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3"/>
                <w:szCs w:val="13"/>
              </w:rPr>
              <w:t xml:space="preserve">P7X archivé → P7F doctrine pure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3"/>
                <w:szCs w:val="13"/>
              </w:rPr>
              <w:t xml:space="preserve">WGI perception exclus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3"/>
                <w:szCs w:val="13"/>
              </w:rPr>
              <w:t xml:space="preserve">PGEO_MINE_COORD reconception S11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Function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EE8FF"/>
                <w:sz w:val="13"/>
                <w:szCs w:val="13"/>
              </w:rPr>
              <w:t xml:space="preserve">Fonctionnel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ISA score [0,1] par pays/pilier/an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Confiance + vulnérabilité + résilience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Probabilité exécution P7Z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Alertes GREEN/YELLOW/ORANGE/RED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API GET /api/v2/* (32 endpoints)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OpenAPI 3.1 (OPENAPI_P8_V2.json)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pub.* → vues publication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Fiches pays ISA 2022 (sept. 2026)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api.main:app (FastAPI)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pub.v_isa_country_scores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docs/ (GitHub)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Observatoire ISA (portail public)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États africains (usage interne)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UA / CER (usage régional)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Délégations (usage diplomatique)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Chercheurs / universités africaines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Phase appropriation : 2026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Lancement consolidé : sept. 2027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Révision doctrine : Conseil scientifique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Mise à jour annuelle : post-collecte</w:t>
            </w:r>
          </w:p>
        </w:tc>
        <w:tc>
          <w:tcPr>
            <w:tcW w:type="dxa" w:w="2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Logique de trajectoire (pas classement)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Open data + e-participation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Modèle économique : 3 niveaux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Intelligence souveraine africaine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Légende des perspectives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2566"/>
        <w:gridCol w:w="2566"/>
        <w:gridCol w:w="2566"/>
        <w:gridCol w:w="2566"/>
        <w:gridCol w:w="2568"/>
      </w:tblGrid>
      <w:tr>
        <w:tc>
          <w:tcPr>
            <w:tcW w:type="dxa" w:w="2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SCOPE — Contextuel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3"/>
                <w:szCs w:val="13"/>
              </w:rPr>
              <w:t xml:space="preserve">Vision périmètre OSA</w:t>
            </w:r>
          </w:p>
        </w:tc>
        <w:tc>
          <w:tcPr>
            <w:tcW w:type="dxa" w:w="2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090"/>
                <w:sz w:val="15"/>
                <w:szCs w:val="15"/>
              </w:rPr>
              <w:t xml:space="preserve">CONCEPT — Conceptuel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090"/>
                <w:sz w:val="13"/>
                <w:szCs w:val="13"/>
              </w:rPr>
              <w:t xml:space="preserve">Modèle métier ISA</w:t>
            </w:r>
          </w:p>
        </w:tc>
        <w:tc>
          <w:tcPr>
            <w:tcW w:type="dxa" w:w="2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5"/>
                <w:szCs w:val="15"/>
              </w:rPr>
              <w:t xml:space="preserve">LOGICAL — Logique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3"/>
                <w:szCs w:val="13"/>
              </w:rPr>
              <w:t xml:space="preserve">Architecture données</w:t>
            </w:r>
          </w:p>
        </w:tc>
        <w:tc>
          <w:tcPr>
            <w:tcW w:type="dxa" w:w="2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5"/>
                <w:szCs w:val="15"/>
              </w:rPr>
              <w:t xml:space="preserve">PHYSICAL — Physique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30A0"/>
                <w:sz w:val="13"/>
                <w:szCs w:val="13"/>
              </w:rPr>
              <w:t xml:space="preserve">Infrastructure technique</w:t>
            </w:r>
          </w:p>
        </w:tc>
        <w:tc>
          <w:tcPr>
            <w:tcW w:type="dxa" w:w="2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DETAILED — Détaillé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3"/>
                <w:szCs w:val="13"/>
              </w:rPr>
              <w:t xml:space="preserve">Décisions Sprint 10</w:t>
            </w:r>
          </w:p>
        </w:tc>
        <w:tc>
          <w:tcPr>
            <w:tcW w:type="dxa" w:w="25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5"/>
                <w:szCs w:val="15"/>
              </w:rPr>
              <w:t xml:space="preserve">FUNCTION — Fonctionnel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Livrables publics</w:t>
            </w:r>
          </w:p>
        </w:tc>
      </w:tr>
    </w:tbl>
    <w:sectPr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OSA Observatory — Matrice de Zachman — Architecture système ISA — Sprint 11 — Mai 2026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2026-05-22T22:34:03.433Z</dcterms:created>
  <dcterms:modified xsi:type="dcterms:W3CDTF">2026-05-22T22:34:03.446Z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