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OBSERVATOIRE DE LA SOUVERAINETÉ AFRICAINE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ARCHITECTURE INSTITUTIONNELLE ISA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Synthèse de la Matrice de Zachman — Usage partenaires UA / CEA / BAD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Sprint 11 — Mai 2026 — Confidentiel — Usage institutionnel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L’OSA en six dimensions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Matrice de Zachman permet de décrire l’Observatoire de la Souveraineté Africaine selon six perspectives simultanées — de la vision stratégique jusqu’aux livrables opérationnels. Chaque dimension répond à une question fondamentale.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4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Quoi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Les données souveraines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237 indicateurs actifs répartis en 10 piliers souverains pour 54 pays africains, sur 15 ans (2010–2024). 77 642 observations brutes L1 alimentées par 9 sources internationales.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Le pipeline analytique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L1 (collecte) → L2 (imputation MICE) → L3 (normalisation bornes gelées) → P7A–P7Z (intelligence souveraine) → P8 (publication API). 12 modules analytiques actifs.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E0B4"/>
                <w:sz w:val="18"/>
                <w:szCs w:val="18"/>
              </w:rPr>
              <w:t xml:space="preserve">Où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L’infrastructure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17 (204 tables, 6 schémas), API FastAPI (32 endpoints), repo GitHub public (github.com/Bath4856/osa-observatory). Entièrement reproductible et auditable.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C3F0"/>
                <w:sz w:val="18"/>
                <w:szCs w:val="18"/>
              </w:rPr>
              <w:t xml:space="preserve">Qui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Les acteurs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Trois organes de gouvernance : Secrétariat technique (calcul ISA), Conseil scientifique panafricain (validation méthodologique), Comité stratégique (partenariats UA/CEDEAO/CEMAC). Utilisateurs : 54 États africains, institutions régionales, chercheurs.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AE0D0"/>
                <w:sz w:val="18"/>
                <w:szCs w:val="18"/>
              </w:rPr>
              <w:t xml:space="preserve">Quand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La temporalité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Série historique 2010–2024. Publication officielle : cycle 2020–2024 (ISA_P7E_V1). Phase appropriation : sept. 2026. Lancement consolidé : sept. 2027. Convergence prédictive PRES : &lt; 0,8 an (P7Z).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Pourquoi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La doctrine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Doctrine ISA v1 — 5 axiomes : donnée faible informative, absence = signal, qualité se qualifie, score multicouche, ISA alimente l’intelligence. Approche conséquentialiste. Logique de trajectoire, pas de classement.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Chiffres clés de l’architecture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50"/>
        <w:gridCol w:w="3248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237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indicateurs actifs — 10 piliers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54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pays africains — 15 ans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204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E0B4"/>
                <w:sz w:val="18"/>
                <w:szCs w:val="18"/>
              </w:rPr>
              <w:t xml:space="preserve">tables — 6 schémas PostgreSQL</w:t>
            </w:r>
          </w:p>
        </w:tc>
      </w:tr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8 091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C3F0"/>
                <w:sz w:val="18"/>
                <w:szCs w:val="18"/>
              </w:rPr>
              <w:t xml:space="preserve">probabilités P7Z calculées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E0D0"/>
                <w:sz w:val="18"/>
                <w:szCs w:val="18"/>
              </w:rPr>
              <w:t xml:space="preserve">endpoints API publique (P8)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conformité Doctrine ISA v1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Architecture des 10 piliers souverains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46"/>
        <w:gridCol w:w="1500"/>
        <w:gridCol w:w="2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souveraine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principales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PECO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économique — autonomie productive, diversification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IMF WEO, World Bank WDI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PENV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environnementale — énergie, forêts, eau, résilience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World Bank, FAO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PGEO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géopolitique — stabilité, diplomatie, commerce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ACLED, UCDP, World Bank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PHUM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humaine — éducation, santé, pauvreté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World Bank, UNDP, FAO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PMIL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militaire — défense, sécurité, capacités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SIPRI, ACLED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PMIN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minière — ressources, fiscalité, gouvernance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USGS, World Bank, EITI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PMON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monétaire — indépendance, réserves, dette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IMF WEO, DOTS, BOP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PNUM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numérique — internet, cyber, e-gouvernement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ITU, UNESCO, World Bank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PRES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Ressources stratégiques — énergie, eau, ressources critiques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IEA, IRENA, FAO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PTRA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Souveraineté transport — infrastructure, connectivité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World Bank, ICAO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Architecture de gouvernance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« L’OSA n’est pas un outil de notation des États africains à l’usage des acteurs extérieurs. C’est un outil d’intelligence stratégique souveraine à l’usage des États africains eux-mêmes. »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73"/>
        <w:gridCol w:w="377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Secrétariat technique OSA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Calcul ISA, pipeline, publication</w:t>
            </w:r>
          </w:p>
        </w:tc>
        <w:tc>
          <w:tcPr>
            <w:tcW w:type="dxa" w:w="3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technique 3–5 personnes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Indépendance totale — aucune interférence politique</w:t>
            </w:r>
          </w:p>
        </w:tc>
        <w:tc>
          <w:tcPr>
            <w:tcW w:type="dxa" w:w="3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Actif — Sprint 11 en cours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Conseil scientifique panafricain</w:t>
            </w:r>
          </w:p>
          <w:p>
            <w:r>
              <w:rPr>
                <w:rFonts w:ascii="Arial" w:cs="Arial" w:eastAsia="Arial" w:hAnsi="Arial"/>
                <w:color w:val="D9C3F0"/>
                <w:sz w:val="18"/>
                <w:szCs w:val="18"/>
              </w:rPr>
              <w:t xml:space="preserve">Validation méthodologique annuelle</w:t>
            </w:r>
          </w:p>
        </w:tc>
        <w:tc>
          <w:tcPr>
            <w:tcW w:type="dxa" w:w="3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experts, 5 régions africaines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Mandats fixes non renouvelables</w:t>
            </w:r>
          </w:p>
        </w:tc>
        <w:tc>
          <w:tcPr>
            <w:tcW w:type="dxa" w:w="3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À constituer — Sprint 11 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Comité gouvernance stratégique</w:t>
            </w:r>
          </w:p>
          <w:p>
            <w:r>
              <w:rPr>
                <w:rFonts w:ascii="Arial" w:cs="Arial" w:eastAsia="Arial" w:hAnsi="Arial"/>
                <w:color w:val="FAE0D0"/>
                <w:sz w:val="18"/>
                <w:szCs w:val="18"/>
              </w:rPr>
              <w:t xml:space="preserve">Partenariats UA / CEDEAO / CEMAC</w:t>
            </w:r>
          </w:p>
        </w:tc>
        <w:tc>
          <w:tcPr>
            <w:tcW w:type="dxa" w:w="3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Représentants institutions régionales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Pas d’accès aux données avant publication</w:t>
            </w:r>
          </w:p>
        </w:tc>
        <w:tc>
          <w:tcPr>
            <w:tcW w:type="dxa" w:w="3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À initier — Sprint 11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OSA est prêt pour la phase d’appropriation 2026.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La décision de publier est séparée de la capacité technique à publier.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Architecture institutionnelle ISA — Sprint 11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2026-05-22T22:34:03.475Z</dcterms:created>
  <dcterms:modified xsi:type="dcterms:W3CDTF">2026-05-22T22:34:03.475Z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