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40"/>
          <w:szCs w:val="40"/>
        </w:rPr>
        <w:t xml:space="preserve">OBSERVATOIRE DE LA SOUVERAINETÉ AFRICAINE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80"/>
              <w:left w:type="dxa" w:w="360"/>
              <w:bottom w:type="dxa" w:w="280"/>
              <w:right w:type="dxa" w:w="360"/>
            </w:tcMar>
          </w:tcPr>
          <w:p>
            <w:pPr>
              <w:jc w:val="center"/>
            </w:pPr>
            <w:r>
              <w:rPr>
                <w:rFonts w:ascii="Arial" w:cs="Arial" w:eastAsia="Arial" w:hAnsi="Arial"/>
                <w:b/>
                <w:bCs/>
                <w:color w:val="FFFFFF"/>
                <w:sz w:val="40"/>
                <w:szCs w:val="40"/>
              </w:rPr>
              <w:t xml:space="preserve">CHARTE DE NEUTRALITÉ SCIENTIFIQUE</w:t>
            </w:r>
          </w:p>
          <w:p>
            <w:pPr>
              <w:jc w:val="center"/>
            </w:pPr>
            <w:r>
              <w:rPr>
                <w:rFonts w:ascii="Arial" w:cs="Arial" w:eastAsia="Arial" w:hAnsi="Arial"/>
                <w:color w:val="BDD7EE"/>
                <w:sz w:val="24"/>
                <w:szCs w:val="24"/>
              </w:rPr>
              <w:t xml:space="preserve">Version interne complète — Conseil scientifique panafricain</w:t>
            </w:r>
          </w:p>
          <w:p>
            <w:pPr>
              <w:jc w:val="center"/>
            </w:pPr>
            <w:r>
              <w:rPr>
                <w:rFonts w:ascii="Arial" w:cs="Arial" w:eastAsia="Arial" w:hAnsi="Arial"/>
                <w:i/>
                <w:iCs/>
                <w:color w:val="BDD7EE"/>
                <w:sz w:val="22"/>
                <w:szCs w:val="22"/>
              </w:rPr>
              <w:t xml:space="preserve">Principes · Gouvernance · Procédures · Mandats · Éthique</w:t>
            </w:r>
          </w:p>
        </w:tc>
      </w:tr>
    </w:tbl>
    <w:p>
      <w:pPr>
        <w:spacing w:after="100" w:before="100"/>
      </w:pPr>
      <w:r>
        <w:t xml:space="preserve"/>
      </w:r>
    </w:p>
    <w:p>
      <w:pPr>
        <w:spacing w:after="480" w:before="80"/>
        <w:jc w:val="center"/>
      </w:pPr>
      <w:r>
        <w:rPr>
          <w:rFonts w:ascii="Arial" w:cs="Arial" w:eastAsia="Arial" w:hAnsi="Arial"/>
          <w:color w:val="888888"/>
          <w:sz w:val="20"/>
          <w:szCs w:val="20"/>
        </w:rPr>
        <w:t xml:space="preserve">Version 1.0 — Mai 2026 — Confidentiel — Usage interne Conseil scientifique</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Préambule</w:t>
      </w:r>
    </w:p>
    <w:p>
      <w:pPr>
        <w:spacing w:after="80" w:before="80"/>
        <w:jc w:val="both"/>
      </w:pPr>
      <w:r>
        <w:rPr>
          <w:rFonts w:ascii="Arial" w:cs="Arial" w:eastAsia="Arial" w:hAnsi="Arial"/>
          <w:b w:val="false"/>
          <w:bCs w:val="false"/>
          <w:i w:val="false"/>
          <w:iCs w:val="false"/>
          <w:color w:val="000000"/>
          <w:sz w:val="22"/>
          <w:szCs w:val="22"/>
        </w:rPr>
        <w:t xml:space="preserve">La présente charte interne complète la Charte de neutralité scientifique publique en détaillant les procédures opérationnelles, les mandats, les règles éthiques et les mécanismes de contrôle applicables aux membres du Conseil scientifique panafricain de l’OSA.</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Titre I — Composition et mandats du Conseil scientifique</w:t>
      </w:r>
    </w:p>
    <w:p>
      <w:pPr>
        <w:pStyle w:val="Heading2"/>
        <w:spacing w:after="120" w:before="240"/>
      </w:pPr>
      <w:r>
        <w:rPr>
          <w:rFonts w:ascii="Arial" w:cs="Arial" w:eastAsia="Arial" w:hAnsi="Arial"/>
          <w:b/>
          <w:bCs/>
          <w:color w:val="2E75B6"/>
          <w:sz w:val="26"/>
          <w:szCs w:val="26"/>
        </w:rPr>
        <w:t xml:space="preserve">Article 1 — Composition</w:t>
      </w:r>
    </w:p>
    <w:p>
      <w:pPr>
        <w:spacing w:after="80" w:before="80"/>
        <w:jc w:val="both"/>
      </w:pPr>
      <w:r>
        <w:rPr>
          <w:rFonts w:ascii="Arial" w:cs="Arial" w:eastAsia="Arial" w:hAnsi="Arial"/>
          <w:b w:val="false"/>
          <w:bCs w:val="false"/>
          <w:i w:val="false"/>
          <w:iCs w:val="false"/>
          <w:color w:val="000000"/>
          <w:sz w:val="22"/>
          <w:szCs w:val="22"/>
        </w:rPr>
        <w:t xml:space="preserve">Le Conseil scientifique panafricain est composé de 7 à 10 membres permanents répartis selon les critères suivants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Critère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Règle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Objectif</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Répartition régionale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 moins 1 expert par région africaine (Afrique du Nord, Ouest, Centre, Est, Australe)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Représentativité continentale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Compétences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Mix : économistes, statisticiens, politologues, spécialistes données, juristes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Multidisciplinarité méthodologique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Indépendance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Aucun mandat gouvernemental actif. Pas de poste exécutif dans une institution finançant l’OSA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Zéro conflit d’intérêts structurel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Parité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 moins 40 % de femmes parmi les membres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Équité de représentation</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2 — Mandats</w:t>
      </w:r>
    </w:p>
    <w:p>
      <w:pPr>
        <w:spacing w:after="80" w:before="80"/>
        <w:jc w:val="both"/>
      </w:pPr>
      <w:r>
        <w:rPr>
          <w:rFonts w:ascii="Arial" w:cs="Arial" w:eastAsia="Arial" w:hAnsi="Arial"/>
          <w:b w:val="false"/>
          <w:bCs w:val="false"/>
          <w:i w:val="false"/>
          <w:iCs w:val="false"/>
          <w:color w:val="000000"/>
          <w:sz w:val="22"/>
          <w:szCs w:val="22"/>
        </w:rPr>
        <w:t xml:space="preserve">Les mandats des membres du Conseil scientifique sont de 3 ans, non renouvelables. Cette limitation garantit le renouvellement régulier des perspectives et évite la capture institutionnelle.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3 — Autorité exclusive du Conseil</w:t>
      </w:r>
    </w:p>
    <w:p>
      <w:pPr>
        <w:spacing w:after="80" w:before="80"/>
        <w:jc w:val="both"/>
      </w:pPr>
      <w:r>
        <w:rPr>
          <w:rFonts w:ascii="Arial" w:cs="Arial" w:eastAsia="Arial" w:hAnsi="Arial"/>
          <w:b w:val="false"/>
          <w:bCs w:val="false"/>
          <w:i w:val="false"/>
          <w:iCs w:val="false"/>
          <w:color w:val="000000"/>
          <w:sz w:val="22"/>
          <w:szCs w:val="22"/>
        </w:rPr>
        <w:t xml:space="preserve">Le Conseil scientifique a autorité exclusive et non délégable sur :</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Validation des pondérations piliers et des bornes de normalisation (Min-Max v1_2026)</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Approbation de tout changement doctrinal — nouvelles sources, nouveaux indicateurs, nouveaux seuils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Certification de chaque publication officielle ISA avant diffusion</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Validation des résultats Monte Carlo de sensibilité des pondérations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Révision des seuils AMAR (GREEN/YELLOW/ORANGE/RED/BLACK)</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Décision sur l’inclusion ou l’exclusion d’un indicateur du référentiel</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Titre II — Règles éthiques et déontologiques</w:t>
      </w:r>
    </w:p>
    <w:p>
      <w:pPr>
        <w:pStyle w:val="Heading2"/>
        <w:spacing w:after="120" w:before="240"/>
      </w:pPr>
      <w:r>
        <w:rPr>
          <w:rFonts w:ascii="Arial" w:cs="Arial" w:eastAsia="Arial" w:hAnsi="Arial"/>
          <w:b/>
          <w:bCs/>
          <w:color w:val="2E75B6"/>
          <w:sz w:val="26"/>
          <w:szCs w:val="26"/>
        </w:rPr>
        <w:t xml:space="preserve">Article 4 — Déclaration d’intérêts</w:t>
      </w:r>
    </w:p>
    <w:p>
      <w:pPr>
        <w:spacing w:after="80" w:before="80"/>
        <w:jc w:val="both"/>
      </w:pPr>
      <w:r>
        <w:rPr>
          <w:rFonts w:ascii="Arial" w:cs="Arial" w:eastAsia="Arial" w:hAnsi="Arial"/>
          <w:b w:val="false"/>
          <w:bCs w:val="false"/>
          <w:i w:val="false"/>
          <w:iCs w:val="false"/>
          <w:color w:val="000000"/>
          <w:sz w:val="22"/>
          <w:szCs w:val="22"/>
        </w:rPr>
        <w:t xml:space="preserve">Chaque membre du Conseil scientifique signe une déclaration d’intérêts annuelle couvrant :</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Mandats gouvernementaux actuels et des 3 dernières années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Postes exécutifs dans des organisations internationales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Intérêts économiques directs dans des pays évalués par l’ISA</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Liens avec des bailleurs de fonds de l’OSA</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Publications académiques contradictoires avec la méthodologie ISA</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5 — Récusation automatique</w:t>
      </w:r>
    </w:p>
    <w:p>
      <w:pPr>
        <w:spacing w:after="80" w:before="80"/>
        <w:jc w:val="both"/>
      </w:pPr>
      <w:r>
        <w:rPr>
          <w:rFonts w:ascii="Arial" w:cs="Arial" w:eastAsia="Arial" w:hAnsi="Arial"/>
          <w:b w:val="false"/>
          <w:bCs w:val="false"/>
          <w:i w:val="false"/>
          <w:iCs w:val="false"/>
          <w:color w:val="000000"/>
          <w:sz w:val="22"/>
          <w:szCs w:val="22"/>
        </w:rPr>
        <w:t xml:space="preserve">Un membre se récuse automatiquement de toute délibération portant sur :</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Un pays dont il est ou a été ressortissant au cours des 5 dernières années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Un pays dans lequel il détient des intérêts économiques directs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Un indicateur ou une source dont il est l’auteur ou le producteur</w:t>
      </w:r>
    </w:p>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La récusation est déclarée en séance, consignée dans le procès-verbal, et rendue publique dans le rapport annuel du Conseil.</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6 — Confidentialité des données non publiées</w:t>
      </w:r>
    </w:p>
    <w:p>
      <w:pPr>
        <w:spacing w:after="80" w:before="80"/>
        <w:jc w:val="both"/>
      </w:pPr>
      <w:r>
        <w:rPr>
          <w:rFonts w:ascii="Arial" w:cs="Arial" w:eastAsia="Arial" w:hAnsi="Arial"/>
          <w:b w:val="false"/>
          <w:bCs w:val="false"/>
          <w:i w:val="false"/>
          <w:iCs w:val="false"/>
          <w:color w:val="000000"/>
          <w:sz w:val="22"/>
          <w:szCs w:val="22"/>
        </w:rPr>
        <w:t xml:space="preserve">Les membres du Conseil scientifique qui accèdent à des scores ISA non encore publiés dans le cadre de leur mission de validation s’engagent à :</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Ne divulguer aucun résultat avant la date de publication officielle</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Ne pas utiliser ces données à des fins personnelles, académiques ou politiques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Signaler immédiatement toute demande extérieure d’accès aux données non publiées</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Titre III — Procédures de délibération</w:t>
      </w:r>
    </w:p>
    <w:p>
      <w:pPr>
        <w:pStyle w:val="Heading2"/>
        <w:spacing w:after="120" w:before="240"/>
      </w:pPr>
      <w:r>
        <w:rPr>
          <w:rFonts w:ascii="Arial" w:cs="Arial" w:eastAsia="Arial" w:hAnsi="Arial"/>
          <w:b/>
          <w:bCs/>
          <w:color w:val="2E75B6"/>
          <w:sz w:val="26"/>
          <w:szCs w:val="26"/>
        </w:rPr>
        <w:t xml:space="preserve">Article 7 — Sessions ordinaires et extraordinaires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Fréquence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Ordre du jour type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Session ordinaire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 fois par an (janvier et juillet)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Bilan méthodologique, validation publications, évolutions doctrinales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Session extraordinaire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À la demande du Président ou de 3 membres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Incident méthodologique, pression externe identifiée, changement doctrinal urgent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Session de certification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Avant chaque publication officielle ISA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Validation des scores, certification de la conformité doctrinale, approbation de publication</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8 — Règles de vote</w:t>
      </w:r>
    </w:p>
    <w:p>
      <w:pPr>
        <w:spacing w:after="80" w:before="80"/>
        <w:jc w:val="both"/>
      </w:pPr>
      <w:r>
        <w:rPr>
          <w:rFonts w:ascii="Arial" w:cs="Arial" w:eastAsia="Arial" w:hAnsi="Arial"/>
          <w:b w:val="false"/>
          <w:bCs w:val="false"/>
          <w:i w:val="false"/>
          <w:iCs w:val="false"/>
          <w:color w:val="000000"/>
          <w:sz w:val="22"/>
          <w:szCs w:val="22"/>
        </w:rPr>
        <w:t xml:space="preserve">Les décisions du Conseil scientifique sont prises selon les règles suivantes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Type de décision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Quorum requis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Majorité requise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Certification publication ISA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5/7 membres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Majorité simple (4/5)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Modification pondérations piliers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6/7 membres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Majorité qualifiée (2/3)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Changement doctrinal majeur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7/7 membres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Unanimité</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Révocation d’un membre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6/7 membres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Majorité qualifiée (2/3)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Admission d’un nouveau membre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5/7 membres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Majorité simple (4/5)</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9 — Procès-verbaux et traçabilité</w:t>
      </w:r>
    </w:p>
    <w:p>
      <w:pPr>
        <w:spacing w:after="80" w:before="80"/>
        <w:jc w:val="both"/>
      </w:pPr>
      <w:r>
        <w:rPr>
          <w:rFonts w:ascii="Arial" w:cs="Arial" w:eastAsia="Arial" w:hAnsi="Arial"/>
          <w:b w:val="false"/>
          <w:bCs w:val="false"/>
          <w:i w:val="false"/>
          <w:iCs w:val="false"/>
          <w:color w:val="000000"/>
          <w:sz w:val="22"/>
          <w:szCs w:val="22"/>
        </w:rPr>
        <w:t xml:space="preserve">Chaque délibération du Conseil scientifique fait l’objet d’un procès-verbal consignant : la composition présente, les récusations déclarées, les questions soumises au vote, les résultats des votes (avec détail par membre si demandé), et les motions de réserve éventuelles. Ces procès-verbaux sont conservés pendant 10 ans et transmis au Secrétariat technique.</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Titre IV — Mécanismes de protection de l’indépendance</w:t>
      </w:r>
    </w:p>
    <w:p>
      <w:pPr>
        <w:pStyle w:val="Heading2"/>
        <w:spacing w:after="120" w:before="240"/>
      </w:pPr>
      <w:r>
        <w:rPr>
          <w:rFonts w:ascii="Arial" w:cs="Arial" w:eastAsia="Arial" w:hAnsi="Arial"/>
          <w:b/>
          <w:bCs/>
          <w:color w:val="2E75B6"/>
          <w:sz w:val="26"/>
          <w:szCs w:val="26"/>
        </w:rPr>
        <w:t xml:space="preserve">Article 10 — Alerte pression externe</w:t>
      </w:r>
    </w:p>
    <w:p>
      <w:pPr>
        <w:spacing w:after="80" w:before="80"/>
        <w:jc w:val="both"/>
      </w:pPr>
      <w:r>
        <w:rPr>
          <w:rFonts w:ascii="Arial" w:cs="Arial" w:eastAsia="Arial" w:hAnsi="Arial"/>
          <w:b w:val="false"/>
          <w:bCs w:val="false"/>
          <w:i w:val="false"/>
          <w:iCs w:val="false"/>
          <w:color w:val="000000"/>
          <w:sz w:val="22"/>
          <w:szCs w:val="22"/>
        </w:rPr>
        <w:t xml:space="preserve">Tout membre du Conseil ou du Secrétariat technique qui reçoit une demande, une pression ou une incitation à modifier des résultats, des méthodes ou des calendriers de publication est tenu :</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De refuser immédiatement et sans négociation</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De consigner par écrit la nature de la demande et son origine</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D’en informer le Président du Conseil scientifique dans les 48 heures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D’accepter que cet incident soit mentionné dans le rapport annuel public du Conseil</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11 — Financement et indépendance budgétaire</w:t>
      </w:r>
    </w:p>
    <w:p>
      <w:pPr>
        <w:spacing w:after="80" w:before="80"/>
        <w:jc w:val="both"/>
      </w:pPr>
      <w:r>
        <w:rPr>
          <w:rFonts w:ascii="Arial" w:cs="Arial" w:eastAsia="Arial" w:hAnsi="Arial"/>
          <w:b w:val="false"/>
          <w:bCs w:val="false"/>
          <w:i w:val="false"/>
          <w:iCs w:val="false"/>
          <w:color w:val="000000"/>
          <w:sz w:val="22"/>
          <w:szCs w:val="22"/>
        </w:rPr>
        <w:t xml:space="preserve">L’OSA peut accepter des financements institutionnels sous les conditions suivantes :</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Aucun financement ne confère de droit de regard sur les méthodes ou les résultats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Les bailleurs finançant plus de 30 % du budget de l’OSA ne peuvent siéger au Comité de gouvernance stratégique</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La liste complète des financeurs est publiée annuellement</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Tout financement conditionné à un résultat spécifique est refusé</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Article 12 — Rapport annuel d’indépendance</w:t>
      </w:r>
    </w:p>
    <w:p>
      <w:pPr>
        <w:spacing w:after="80" w:before="80"/>
        <w:jc w:val="both"/>
      </w:pPr>
      <w:r>
        <w:rPr>
          <w:rFonts w:ascii="Arial" w:cs="Arial" w:eastAsia="Arial" w:hAnsi="Arial"/>
          <w:b w:val="false"/>
          <w:bCs w:val="false"/>
          <w:i w:val="false"/>
          <w:iCs w:val="false"/>
          <w:color w:val="000000"/>
          <w:sz w:val="22"/>
          <w:szCs w:val="22"/>
        </w:rPr>
        <w:t xml:space="preserve">Le Conseil scientifique publie chaque année un Rapport d’indépendance couvrant : les décisions prises, les récusations déclarées, les incidents de pression externe identifiés, l’état de conformité doctrinale du pipeline, et les recommandations méthodologiques pour l’année suivante. Ce rapport est public et publié sur le site de l’OSA.</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Titre V — Procédure de certification ISA</w:t>
      </w:r>
    </w:p>
    <w:p>
      <w:pPr>
        <w:pStyle w:val="Heading2"/>
        <w:spacing w:after="120" w:before="240"/>
      </w:pPr>
      <w:r>
        <w:rPr>
          <w:rFonts w:ascii="Arial" w:cs="Arial" w:eastAsia="Arial" w:hAnsi="Arial"/>
          <w:b/>
          <w:bCs/>
          <w:color w:val="2E75B6"/>
          <w:sz w:val="26"/>
          <w:szCs w:val="26"/>
        </w:rPr>
        <w:t xml:space="preserve">Article 13 — Séquence de certification</w:t>
      </w:r>
    </w:p>
    <w:p>
      <w:pPr>
        <w:spacing w:after="80" w:before="80"/>
        <w:jc w:val="both"/>
      </w:pPr>
      <w:r>
        <w:rPr>
          <w:rFonts w:ascii="Arial" w:cs="Arial" w:eastAsia="Arial" w:hAnsi="Arial"/>
          <w:b w:val="false"/>
          <w:bCs w:val="false"/>
          <w:i w:val="false"/>
          <w:iCs w:val="false"/>
          <w:color w:val="000000"/>
          <w:sz w:val="22"/>
          <w:szCs w:val="22"/>
        </w:rPr>
        <w:t xml:space="preserve">Avant toute publication officielle ISA, la séquence de certification suivante est obligatoire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Étape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Responsable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Contenu</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Secrétariat technique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Healthcheck automatique pipeline (audit/osa_healthcheck.sql) — statut OK requis avant transmission au Conseil</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Secrétariat technique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Production du rapport de certification (scores, distribution AMAR, anomalies, traçabilité rf.indicator_versions)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Conseil scientifique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Session de certification — examen du rapport, questions méthodologiques, vote de certification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Président du Conseil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Signature du certificat de publication officielle ISA_P7E_Vx</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Secrétariat technique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Publication officielle — gel de la version (immuable) — diffusion institutionnelle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Titre VI — Révision de la Charte</w:t>
      </w:r>
    </w:p>
    <w:p>
      <w:pPr>
        <w:pStyle w:val="Heading2"/>
        <w:spacing w:after="120" w:before="240"/>
      </w:pPr>
      <w:r>
        <w:rPr>
          <w:rFonts w:ascii="Arial" w:cs="Arial" w:eastAsia="Arial" w:hAnsi="Arial"/>
          <w:b/>
          <w:bCs/>
          <w:color w:val="2E75B6"/>
          <w:sz w:val="26"/>
          <w:szCs w:val="26"/>
        </w:rPr>
        <w:t xml:space="preserve">Article 14 — Procédure de révision</w:t>
      </w:r>
    </w:p>
    <w:p>
      <w:pPr>
        <w:spacing w:after="80" w:before="80"/>
        <w:jc w:val="both"/>
      </w:pPr>
      <w:r>
        <w:rPr>
          <w:rFonts w:ascii="Arial" w:cs="Arial" w:eastAsia="Arial" w:hAnsi="Arial"/>
          <w:b w:val="false"/>
          <w:bCs w:val="false"/>
          <w:i w:val="false"/>
          <w:iCs w:val="false"/>
          <w:color w:val="000000"/>
          <w:sz w:val="22"/>
          <w:szCs w:val="22"/>
        </w:rPr>
        <w:t xml:space="preserve">La présente Charte peut être révisée par vote unanime du Conseil scientifique en session plénière. Toute révision est soumise à une période de consultation publique de 30 jours avant adoption définitive. Les versions antérieures de la Charte sont conservées et publiées dans les archives de l’OSA.</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Signatures — Membres fondateurs du Conseil scientifique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8FC"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Membre 1 — Région Nord</w:t>
            </w:r>
          </w:p>
          <w:p>
            <w:pPr>
              <w:spacing w:before="200"/>
              <w:jc w:val="center"/>
            </w:pPr>
            <w:r>
              <w:rPr>
                <w:rFonts w:ascii="Arial" w:cs="Arial" w:eastAsia="Arial" w:hAnsi="Arial"/>
                <w:color w:val="888888"/>
                <w:sz w:val="20"/>
                <w:szCs w:val="20"/>
              </w:rPr>
              <w:t xml:space="preserve">_______________________________</w:t>
            </w:r>
          </w:p>
          <w:p>
            <w:pPr>
              <w:jc w:val="center"/>
            </w:pPr>
            <w:r>
              <w:rPr>
                <w:rFonts w:ascii="Arial" w:cs="Arial" w:eastAsia="Arial" w:hAnsi="Arial"/>
                <w:i/>
                <w:iCs/>
                <w:color w:val="888888"/>
                <w:sz w:val="18"/>
                <w:szCs w:val="18"/>
              </w:rPr>
              <w:t xml:space="preserve">Signature et cachet</w:t>
            </w:r>
          </w:p>
          <w:p>
            <w:pPr>
              <w:spacing w:before="80"/>
              <w:jc w:val="center"/>
            </w:pPr>
            <w:r>
              <w:rPr>
                <w:rFonts w:ascii="Arial" w:cs="Arial" w:eastAsia="Arial" w:hAnsi="Arial"/>
                <w:color w:val="888888"/>
                <w:sz w:val="18"/>
                <w:szCs w:val="18"/>
              </w:rPr>
              <w:t xml:space="preserve">Date : _____ / _____ / 2026</w:t>
            </w:r>
          </w:p>
        </w:tc>
        <w:tc>
          <w:tcPr>
            <w:tcW w:type="dxa" w:w="3120"/>
            <w:tcBorders>
              <w:top w:val="single" w:color="CCCCCC" w:sz="1"/>
              <w:left w:val="single" w:color="CCCCCC" w:sz="1"/>
              <w:bottom w:val="single" w:color="CCCCCC" w:sz="1"/>
              <w:right w:val="single" w:color="CCCCCC" w:sz="1"/>
            </w:tcBorders>
            <w:shd w:fill="F5F8FC"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Membre 2 — Région Ouest</w:t>
            </w:r>
          </w:p>
          <w:p>
            <w:pPr>
              <w:spacing w:before="200"/>
              <w:jc w:val="center"/>
            </w:pPr>
            <w:r>
              <w:rPr>
                <w:rFonts w:ascii="Arial" w:cs="Arial" w:eastAsia="Arial" w:hAnsi="Arial"/>
                <w:color w:val="888888"/>
                <w:sz w:val="20"/>
                <w:szCs w:val="20"/>
              </w:rPr>
              <w:t xml:space="preserve">_______________________________</w:t>
            </w:r>
          </w:p>
          <w:p>
            <w:pPr>
              <w:jc w:val="center"/>
            </w:pPr>
            <w:r>
              <w:rPr>
                <w:rFonts w:ascii="Arial" w:cs="Arial" w:eastAsia="Arial" w:hAnsi="Arial"/>
                <w:i/>
                <w:iCs/>
                <w:color w:val="888888"/>
                <w:sz w:val="18"/>
                <w:szCs w:val="18"/>
              </w:rPr>
              <w:t xml:space="preserve">Signature et cachet</w:t>
            </w:r>
          </w:p>
          <w:p>
            <w:pPr>
              <w:spacing w:before="80"/>
              <w:jc w:val="center"/>
            </w:pPr>
            <w:r>
              <w:rPr>
                <w:rFonts w:ascii="Arial" w:cs="Arial" w:eastAsia="Arial" w:hAnsi="Arial"/>
                <w:color w:val="888888"/>
                <w:sz w:val="18"/>
                <w:szCs w:val="18"/>
              </w:rPr>
              <w:t xml:space="preserve">Date : _____ / _____ / 2026</w:t>
            </w:r>
          </w:p>
        </w:tc>
        <w:tc>
          <w:tcPr>
            <w:tcW w:type="dxa" w:w="3120"/>
            <w:tcBorders>
              <w:top w:val="single" w:color="CCCCCC" w:sz="1"/>
              <w:left w:val="single" w:color="CCCCCC" w:sz="1"/>
              <w:bottom w:val="single" w:color="CCCCCC" w:sz="1"/>
              <w:right w:val="single" w:color="CCCCCC" w:sz="1"/>
            </w:tcBorders>
            <w:shd w:fill="F5F8FC"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Membre 3 — Région Centre</w:t>
            </w:r>
          </w:p>
          <w:p>
            <w:pPr>
              <w:spacing w:before="200"/>
              <w:jc w:val="center"/>
            </w:pPr>
            <w:r>
              <w:rPr>
                <w:rFonts w:ascii="Arial" w:cs="Arial" w:eastAsia="Arial" w:hAnsi="Arial"/>
                <w:color w:val="888888"/>
                <w:sz w:val="20"/>
                <w:szCs w:val="20"/>
              </w:rPr>
              <w:t xml:space="preserve">_______________________________</w:t>
            </w:r>
          </w:p>
          <w:p>
            <w:pPr>
              <w:jc w:val="center"/>
            </w:pPr>
            <w:r>
              <w:rPr>
                <w:rFonts w:ascii="Arial" w:cs="Arial" w:eastAsia="Arial" w:hAnsi="Arial"/>
                <w:i/>
                <w:iCs/>
                <w:color w:val="888888"/>
                <w:sz w:val="18"/>
                <w:szCs w:val="18"/>
              </w:rPr>
              <w:t xml:space="preserve">Signature et cachet</w:t>
            </w:r>
          </w:p>
          <w:p>
            <w:pPr>
              <w:spacing w:before="80"/>
              <w:jc w:val="center"/>
            </w:pPr>
            <w:r>
              <w:rPr>
                <w:rFonts w:ascii="Arial" w:cs="Arial" w:eastAsia="Arial" w:hAnsi="Arial"/>
                <w:color w:val="888888"/>
                <w:sz w:val="18"/>
                <w:szCs w:val="18"/>
              </w:rPr>
              <w:t xml:space="preserve">Date : _____ / _____ / 2026</w:t>
            </w:r>
          </w:p>
        </w:tc>
      </w:tr>
      <w:tr>
        <w:tc>
          <w:tcPr>
            <w:tcW w:type="dxa" w:w="3120"/>
            <w:tcBorders>
              <w:top w:val="single" w:color="CCCCCC" w:sz="1"/>
              <w:left w:val="single" w:color="CCCCCC" w:sz="1"/>
              <w:bottom w:val="single" w:color="CCCCCC" w:sz="1"/>
              <w:right w:val="single" w:color="CCCCCC" w:sz="1"/>
            </w:tcBorders>
            <w:shd w:fill="F5F8FC"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Membre 4 — Région Est</w:t>
            </w:r>
          </w:p>
          <w:p>
            <w:pPr>
              <w:spacing w:before="200"/>
              <w:jc w:val="center"/>
            </w:pPr>
            <w:r>
              <w:rPr>
                <w:rFonts w:ascii="Arial" w:cs="Arial" w:eastAsia="Arial" w:hAnsi="Arial"/>
                <w:color w:val="888888"/>
                <w:sz w:val="20"/>
                <w:szCs w:val="20"/>
              </w:rPr>
              <w:t xml:space="preserve">_______________________________</w:t>
            </w:r>
          </w:p>
          <w:p>
            <w:pPr>
              <w:jc w:val="center"/>
            </w:pPr>
            <w:r>
              <w:rPr>
                <w:rFonts w:ascii="Arial" w:cs="Arial" w:eastAsia="Arial" w:hAnsi="Arial"/>
                <w:i/>
                <w:iCs/>
                <w:color w:val="888888"/>
                <w:sz w:val="18"/>
                <w:szCs w:val="18"/>
              </w:rPr>
              <w:t xml:space="preserve">Signature et cachet</w:t>
            </w:r>
          </w:p>
          <w:p>
            <w:pPr>
              <w:spacing w:before="80"/>
              <w:jc w:val="center"/>
            </w:pPr>
            <w:r>
              <w:rPr>
                <w:rFonts w:ascii="Arial" w:cs="Arial" w:eastAsia="Arial" w:hAnsi="Arial"/>
                <w:color w:val="888888"/>
                <w:sz w:val="18"/>
                <w:szCs w:val="18"/>
              </w:rPr>
              <w:t xml:space="preserve">Date : _____ / _____ / 2026</w:t>
            </w:r>
          </w:p>
        </w:tc>
        <w:tc>
          <w:tcPr>
            <w:tcW w:type="dxa" w:w="3120"/>
            <w:tcBorders>
              <w:top w:val="single" w:color="CCCCCC" w:sz="1"/>
              <w:left w:val="single" w:color="CCCCCC" w:sz="1"/>
              <w:bottom w:val="single" w:color="CCCCCC" w:sz="1"/>
              <w:right w:val="single" w:color="CCCCCC" w:sz="1"/>
            </w:tcBorders>
            <w:shd w:fill="F5F8FC"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Membre 5 — Région Australe</w:t>
            </w:r>
          </w:p>
          <w:p>
            <w:pPr>
              <w:spacing w:before="200"/>
              <w:jc w:val="center"/>
            </w:pPr>
            <w:r>
              <w:rPr>
                <w:rFonts w:ascii="Arial" w:cs="Arial" w:eastAsia="Arial" w:hAnsi="Arial"/>
                <w:color w:val="888888"/>
                <w:sz w:val="20"/>
                <w:szCs w:val="20"/>
              </w:rPr>
              <w:t xml:space="preserve">_______________________________</w:t>
            </w:r>
          </w:p>
          <w:p>
            <w:pPr>
              <w:jc w:val="center"/>
            </w:pPr>
            <w:r>
              <w:rPr>
                <w:rFonts w:ascii="Arial" w:cs="Arial" w:eastAsia="Arial" w:hAnsi="Arial"/>
                <w:i/>
                <w:iCs/>
                <w:color w:val="888888"/>
                <w:sz w:val="18"/>
                <w:szCs w:val="18"/>
              </w:rPr>
              <w:t xml:space="preserve">Signature et cachet</w:t>
            </w:r>
          </w:p>
          <w:p>
            <w:pPr>
              <w:spacing w:before="80"/>
              <w:jc w:val="center"/>
            </w:pPr>
            <w:r>
              <w:rPr>
                <w:rFonts w:ascii="Arial" w:cs="Arial" w:eastAsia="Arial" w:hAnsi="Arial"/>
                <w:color w:val="888888"/>
                <w:sz w:val="18"/>
                <w:szCs w:val="18"/>
              </w:rPr>
              <w:t xml:space="preserve">Date : _____ / _____ / 2026</w:t>
            </w:r>
          </w:p>
        </w:tc>
        <w:tc>
          <w:tcPr>
            <w:tcW w:type="dxa" w:w="3120"/>
            <w:tcBorders>
              <w:top w:val="single" w:color="CCCCCC" w:sz="1"/>
              <w:left w:val="single" w:color="CCCCCC" w:sz="1"/>
              <w:bottom w:val="single" w:color="CCCCCC" w:sz="1"/>
              <w:right w:val="single" w:color="CCCCCC" w:sz="1"/>
            </w:tcBorders>
            <w:shd w:fill="F5F8FC"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Président du Conseil</w:t>
            </w:r>
          </w:p>
          <w:p>
            <w:pPr>
              <w:spacing w:before="200"/>
              <w:jc w:val="center"/>
            </w:pPr>
            <w:r>
              <w:rPr>
                <w:rFonts w:ascii="Arial" w:cs="Arial" w:eastAsia="Arial" w:hAnsi="Arial"/>
                <w:color w:val="888888"/>
                <w:sz w:val="20"/>
                <w:szCs w:val="20"/>
              </w:rPr>
              <w:t xml:space="preserve">_______________________________</w:t>
            </w:r>
          </w:p>
          <w:p>
            <w:pPr>
              <w:jc w:val="center"/>
            </w:pPr>
            <w:r>
              <w:rPr>
                <w:rFonts w:ascii="Arial" w:cs="Arial" w:eastAsia="Arial" w:hAnsi="Arial"/>
                <w:i/>
                <w:iCs/>
                <w:color w:val="888888"/>
                <w:sz w:val="18"/>
                <w:szCs w:val="18"/>
              </w:rPr>
              <w:t xml:space="preserve">Signature et cachet</w:t>
            </w:r>
          </w:p>
          <w:p>
            <w:pPr>
              <w:spacing w:before="80"/>
              <w:jc w:val="center"/>
            </w:pPr>
            <w:r>
              <w:rPr>
                <w:rFonts w:ascii="Arial" w:cs="Arial" w:eastAsia="Arial" w:hAnsi="Arial"/>
                <w:color w:val="888888"/>
                <w:sz w:val="18"/>
                <w:szCs w:val="18"/>
              </w:rPr>
              <w:t xml:space="preserve">Date : _____ / _____ / 2026</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320"/>
              <w:bottom w:type="dxa" w:w="160"/>
              <w:right w:type="dxa" w:w="320"/>
            </w:tcMar>
          </w:tcPr>
          <w:p>
            <w:pPr>
              <w:jc w:val="center"/>
            </w:pPr>
            <w:r>
              <w:rPr>
                <w:rFonts w:ascii="Arial" w:cs="Arial" w:eastAsia="Arial" w:hAnsi="Arial"/>
                <w:b/>
                <w:bCs/>
                <w:color w:val="FFFFFF"/>
                <w:sz w:val="26"/>
                <w:szCs w:val="26"/>
              </w:rPr>
              <w:t xml:space="preserve">L’indépendance de l’OSA est la garantie de sa valeur pour l’Afrique.</w:t>
            </w:r>
          </w:p>
          <w:p>
            <w:pPr>
              <w:jc w:val="center"/>
            </w:pPr>
            <w:r>
              <w:rPr>
                <w:rFonts w:ascii="Arial" w:cs="Arial" w:eastAsia="Arial" w:hAnsi="Arial"/>
                <w:i/>
                <w:iCs/>
                <w:color w:val="BDD7EE"/>
                <w:sz w:val="22"/>
                <w:szCs w:val="22"/>
              </w:rPr>
              <w:t xml:space="preserve">Sans neutralité scientifique, l’ISA n’est qu’un chiffre de plus. Avec elle, il est un instrument de souveraineté.</w:t>
            </w:r>
          </w:p>
        </w:tc>
      </w:tr>
    </w:tbl>
    <w:p>
      <w:pPr>
        <w:spacing w:after="100" w:before="100"/>
      </w:pPr>
      <w:r>
        <w:t xml:space="preserve"/>
      </w:r>
    </w:p>
    <w:p>
      <w:pPr>
        <w:spacing w:before="240"/>
        <w:jc w:val="center"/>
      </w:pPr>
      <w:r>
        <w:rPr>
          <w:rFonts w:ascii="Arial" w:cs="Arial" w:eastAsia="Arial" w:hAnsi="Arial"/>
          <w:i/>
          <w:iCs/>
          <w:color w:val="888888"/>
          <w:sz w:val="18"/>
          <w:szCs w:val="18"/>
        </w:rPr>
        <w:t xml:space="preserve">Observatoire de la Souveraineté Africaine — Charte interne Conseil scientifique v1.0 — Mai 2026 — Confidentiel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OSA Observatory — Charte de neutralité scientifique — Version interne — Conseil scientifique panafricain —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2026-05-24T16:35:47.589Z</dcterms:created>
  <dcterms:modified xsi:type="dcterms:W3CDTF">2026-05-24T16:35:47.589Z</dcterms:modified>
</cp:coreProperties>
</file>

<file path=docProps/custom.xml><?xml version="1.0" encoding="utf-8"?>
<Properties xmlns="http://schemas.openxmlformats.org/officeDocument/2006/custom-properties" xmlns:vt="http://schemas.openxmlformats.org/officeDocument/2006/docPropsVTypes"/>
</file>