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0"/>
          <w:szCs w:val="40"/>
        </w:rPr>
        <w:t xml:space="preserve">OBSERVATOIRE DE LA SOUVERAINETÉ AFRICAINE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360"/>
              <w:bottom w:type="dxa" w:w="280"/>
              <w:right w:type="dxa" w:w="360"/>
            </w:tcMar>
          </w:tcPr>
          <w:p>
            <w:pPr>
              <w:jc w:val="center"/>
            </w:pPr>
            <w:r>
              <w:rPr>
                <w:rFonts w:ascii="Arial" w:cs="Arial" w:eastAsia="Arial" w:hAnsi="Arial"/>
                <w:b/>
                <w:bCs/>
                <w:color w:val="FFFFFF"/>
                <w:sz w:val="44"/>
                <w:szCs w:val="44"/>
              </w:rPr>
              <w:t xml:space="preserve">CHARTE DE NEUTRALITÉ SCIENTIFIQUE</w:t>
            </w:r>
          </w:p>
          <w:p>
            <w:pPr>
              <w:jc w:val="center"/>
            </w:pPr>
            <w:r>
              <w:rPr>
                <w:rFonts w:ascii="Arial" w:cs="Arial" w:eastAsia="Arial" w:hAnsi="Arial"/>
                <w:i/>
                <w:iCs/>
                <w:color w:val="BDD7EE"/>
                <w:sz w:val="24"/>
                <w:szCs w:val="24"/>
              </w:rPr>
              <w:t xml:space="preserve">Indice de Souveraineté Africaine — Principes fondateurs de l’indépendance analytique</w:t>
            </w:r>
          </w:p>
        </w:tc>
      </w:tr>
    </w:tbl>
    <w:p>
      <w:pPr>
        <w:spacing w:after="100" w:before="100"/>
      </w:pPr>
      <w:r>
        <w:t xml:space="preserve"/>
      </w:r>
    </w:p>
    <w:p>
      <w:pPr>
        <w:spacing w:after="80" w:before="80"/>
        <w:jc w:val="center"/>
      </w:pPr>
      <w:r>
        <w:rPr>
          <w:rFonts w:ascii="Arial" w:cs="Arial" w:eastAsia="Arial" w:hAnsi="Arial"/>
          <w:i/>
          <w:iCs/>
          <w:color w:val="555555"/>
          <w:sz w:val="22"/>
          <w:szCs w:val="22"/>
        </w:rPr>
        <w:t xml:space="preserve">Union africaine · Commission économique pour l’Afrique · Banque africaine de développement</w:t>
      </w:r>
    </w:p>
    <w:p>
      <w:pPr>
        <w:spacing w:after="480" w:before="40"/>
        <w:jc w:val="center"/>
      </w:pPr>
      <w:r>
        <w:rPr>
          <w:rFonts w:ascii="Arial" w:cs="Arial" w:eastAsia="Arial" w:hAnsi="Arial"/>
          <w:color w:val="888888"/>
          <w:sz w:val="20"/>
          <w:szCs w:val="20"/>
        </w:rPr>
        <w:t xml:space="preserve">Version 1.0 — Mai 2026 — Usage institutionnel public</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Préambule</w:t>
      </w:r>
    </w:p>
    <w:p>
      <w:pPr>
        <w:spacing w:after="80" w:before="80"/>
        <w:jc w:val="both"/>
      </w:pPr>
      <w:r>
        <w:rPr>
          <w:rFonts w:ascii="Arial" w:cs="Arial" w:eastAsia="Arial" w:hAnsi="Arial"/>
          <w:b w:val="false"/>
          <w:bCs w:val="false"/>
          <w:i w:val="false"/>
          <w:iCs w:val="false"/>
          <w:color w:val="000000"/>
          <w:sz w:val="22"/>
          <w:szCs w:val="22"/>
        </w:rPr>
        <w:t xml:space="preserve">L’Observatoire de la Souveraineté Africaine (OSA) est un système d’intelligence analytique indépendant dont la mission est de mesurer, de documenter et de projeter la trajectoire souveraine de 54 pays africains selon un indice composite multidimensionnel — l’Indice de Souveraineté Africaine (ISA).</w:t>
      </w:r>
    </w:p>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crédibilité de l’OSA repose entièrement sur son indépendance analytique. Tout biais introduit — qu’il soit politique, économique, diplomatique ou institutionnel — compromet la valeur de l’indice pour l’ensemble des États africains et de leurs partenaires.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 L’OSA n’est pas un outil de notation des États africains à l’usage d’acteurs extérieurs. C’est un instrument d’intelligence souveraine africaine à l’usage des États africains eux-mêmes. Sa neutralité n’est pas une option — c’est sa raison d’être. »</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présente Charte de neutralité scientifique établit les principes, les engagements et les procédures qui garantissent cette indépendance. Elle s’impose à l’ensemble des organes de l’OSA, à tous les membres du Conseil scientifique panafricain, et à tout partenaire institutionnel ou académique qui contribue à la production ou à la diffusion de l’ISA.</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 — Principes fondateurs</w:t>
      </w:r>
    </w:p>
    <w:p>
      <w:pPr>
        <w:pStyle w:val="Heading2"/>
        <w:spacing w:after="120" w:before="240"/>
      </w:pPr>
      <w:r>
        <w:rPr>
          <w:rFonts w:ascii="Arial" w:cs="Arial" w:eastAsia="Arial" w:hAnsi="Arial"/>
          <w:b/>
          <w:bCs/>
          <w:color w:val="2E75B6"/>
          <w:sz w:val="26"/>
          <w:szCs w:val="26"/>
        </w:rPr>
        <w:t xml:space="preserve">Article 1 — Indépendance analytique</w:t>
      </w:r>
    </w:p>
    <w:p>
      <w:pPr>
        <w:spacing w:after="80" w:before="80"/>
        <w:jc w:val="both"/>
      </w:pPr>
      <w:r>
        <w:rPr>
          <w:rFonts w:ascii="Arial" w:cs="Arial" w:eastAsia="Arial" w:hAnsi="Arial"/>
          <w:b w:val="false"/>
          <w:bCs w:val="false"/>
          <w:i w:val="false"/>
          <w:iCs w:val="false"/>
          <w:color w:val="000000"/>
          <w:sz w:val="22"/>
          <w:szCs w:val="22"/>
        </w:rPr>
        <w:t xml:space="preserve">L’OSA produit ses analyses de manière entièrement indépendante de tout gouvernement, de toute organisation internationale, de tout bailleur de fonds et de toute entité privée. Aucune pression extérieure ne peut influer sur les méthodes de calcul, les données utilisées, les résultats produits ou les publications diffusées.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2 — Primauté du fait comportemental observable</w:t>
      </w:r>
    </w:p>
    <w:p>
      <w:pPr>
        <w:spacing w:after="80" w:before="80"/>
        <w:jc w:val="both"/>
      </w:pPr>
      <w:r>
        <w:rPr>
          <w:rFonts w:ascii="Arial" w:cs="Arial" w:eastAsia="Arial" w:hAnsi="Arial"/>
          <w:b w:val="false"/>
          <w:bCs w:val="false"/>
          <w:i w:val="false"/>
          <w:iCs w:val="false"/>
          <w:color w:val="000000"/>
          <w:sz w:val="22"/>
          <w:szCs w:val="22"/>
        </w:rPr>
        <w:t xml:space="preserve">L’ISA mesure des faits comportementaux observables et vérifiables. Il n’intègre aucun indice de perception, aucune évaluation d’experts extérieurs non vérifiable, et aucune donnée dont la source ne peut être auditée indépendamment. Cette doctrine est formalisée dans la Doctrine ISA v1 et s’impose à l’ensemble du pipeline de production.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3 — Égalité souveraine de traitement</w:t>
      </w:r>
    </w:p>
    <w:p>
      <w:pPr>
        <w:spacing w:after="80" w:before="80"/>
        <w:jc w:val="both"/>
      </w:pPr>
      <w:r>
        <w:rPr>
          <w:rFonts w:ascii="Arial" w:cs="Arial" w:eastAsia="Arial" w:hAnsi="Arial"/>
          <w:b w:val="false"/>
          <w:bCs w:val="false"/>
          <w:i w:val="false"/>
          <w:iCs w:val="false"/>
          <w:color w:val="000000"/>
          <w:sz w:val="22"/>
          <w:szCs w:val="22"/>
        </w:rPr>
        <w:t xml:space="preserve">Tous les États africains sont traités avec la même rigueur méthodologique, les mêmes sources de données, les mêmes seuils de qualité et les mêmes règles de publication. Aucun État ne peut bénéficier d’un traitement préférentiel ni d’une exclusion non motivée de l’indice.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4 — Transparence et reproductibilité</w:t>
      </w:r>
    </w:p>
    <w:p>
      <w:pPr>
        <w:spacing w:after="80" w:before="80"/>
        <w:jc w:val="both"/>
      </w:pPr>
      <w:r>
        <w:rPr>
          <w:rFonts w:ascii="Arial" w:cs="Arial" w:eastAsia="Arial" w:hAnsi="Arial"/>
          <w:b w:val="false"/>
          <w:bCs w:val="false"/>
          <w:i w:val="false"/>
          <w:iCs w:val="false"/>
          <w:color w:val="000000"/>
          <w:sz w:val="22"/>
          <w:szCs w:val="22"/>
        </w:rPr>
        <w:t xml:space="preserve">L’intégralité du code source de l’OSA est publiée sur GitHub. Chaque calcul est auditable par n’importe quelle institution indépendante. Chaque valeur est tracée avec sa source, sa méthode d’imputation et son score de confiance. Aucune décision méthodologique n’est prise sans documentation écrite.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5 — Logique de trajectoire</w:t>
      </w:r>
    </w:p>
    <w:p>
      <w:pPr>
        <w:spacing w:after="80" w:before="80"/>
        <w:jc w:val="both"/>
      </w:pPr>
      <w:r>
        <w:rPr>
          <w:rFonts w:ascii="Arial" w:cs="Arial" w:eastAsia="Arial" w:hAnsi="Arial"/>
          <w:b w:val="false"/>
          <w:bCs w:val="false"/>
          <w:i w:val="false"/>
          <w:iCs w:val="false"/>
          <w:color w:val="000000"/>
          <w:sz w:val="22"/>
          <w:szCs w:val="22"/>
        </w:rPr>
        <w:t xml:space="preserve">L’ISA ne classe pas les États africains selon une hiérarchie de valeur. Il documente des trajectoires souveraines. Tout gouvernement africain peut valoriser ses progrès sur ses propres piliers de souveraineté, indépendamment de sa position relative par rapport aux autres États.</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II — Gouvernance de la neutralité</w:t>
      </w:r>
    </w:p>
    <w:p>
      <w:pPr>
        <w:pStyle w:val="Heading2"/>
        <w:spacing w:after="120" w:before="240"/>
      </w:pPr>
      <w:r>
        <w:rPr>
          <w:rFonts w:ascii="Arial" w:cs="Arial" w:eastAsia="Arial" w:hAnsi="Arial"/>
          <w:b/>
          <w:bCs/>
          <w:color w:val="2E75B6"/>
          <w:sz w:val="26"/>
          <w:szCs w:val="26"/>
        </w:rPr>
        <w:t xml:space="preserve">Article 6 — Conseil scientifique panafricain</w:t>
      </w:r>
    </w:p>
    <w:p>
      <w:pPr>
        <w:spacing w:after="80" w:before="80"/>
        <w:jc w:val="both"/>
      </w:pPr>
      <w:r>
        <w:rPr>
          <w:rFonts w:ascii="Arial" w:cs="Arial" w:eastAsia="Arial" w:hAnsi="Arial"/>
          <w:b w:val="false"/>
          <w:bCs w:val="false"/>
          <w:i w:val="false"/>
          <w:iCs w:val="false"/>
          <w:color w:val="000000"/>
          <w:sz w:val="22"/>
          <w:szCs w:val="22"/>
        </w:rPr>
        <w:t xml:space="preserve">Un Conseil scientifique panafricain indépendant est constitué pour valider les décisions méthodologiques de l’OSA. Il est composé de 7 à 10 experts académiques et techniques issus de 5 régions africaines, nommés pour des mandats fixes non renouvelables.</w:t>
      </w:r>
    </w:p>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Le Conseil scientifique a autorité exclusive sur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La validation des pondérations piliers et des bornes de normalisation</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L’approbation de tout changement doctrinal majeur</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La certification de chaque publication officielle ISA</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La désignation et la révocation de ses propres membres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7 — Séparation stricte technique / politique</w:t>
      </w:r>
    </w:p>
    <w:p>
      <w:pPr>
        <w:spacing w:after="80" w:before="80"/>
        <w:jc w:val="both"/>
      </w:pPr>
      <w:r>
        <w:rPr>
          <w:rFonts w:ascii="Arial" w:cs="Arial" w:eastAsia="Arial" w:hAnsi="Arial"/>
          <w:b w:val="false"/>
          <w:bCs w:val="false"/>
          <w:i w:val="false"/>
          <w:iCs w:val="false"/>
          <w:color w:val="000000"/>
          <w:sz w:val="22"/>
          <w:szCs w:val="22"/>
        </w:rPr>
        <w:t xml:space="preserve">Le Secrétariat technique OSA est le seul organe autorisé à accéder aux données brutes et aux scores non publiés. Aucun partenaire institutionnel, aucun bailleur, aucun gouvernement ne peut accéder aux données avant leur publication officielle.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8 — Conflits d’intérêts</w:t>
      </w:r>
    </w:p>
    <w:p>
      <w:pPr>
        <w:spacing w:after="80" w:before="80"/>
        <w:jc w:val="both"/>
      </w:pPr>
      <w:r>
        <w:rPr>
          <w:rFonts w:ascii="Arial" w:cs="Arial" w:eastAsia="Arial" w:hAnsi="Arial"/>
          <w:b w:val="false"/>
          <w:bCs w:val="false"/>
          <w:i w:val="false"/>
          <w:iCs w:val="false"/>
          <w:color w:val="000000"/>
          <w:sz w:val="22"/>
          <w:szCs w:val="22"/>
        </w:rPr>
        <w:t xml:space="preserve">Tout membre du Conseil scientifique qui détient un mandat gouvernemental actif, un poste de direction dans une institution internationale, ou un intérêt économique direct dans un pays évalué doit se récuser des décisions concernant ce pays. La récusation est automatique et publique.</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III — Engagements des signataires</w:t>
      </w:r>
    </w:p>
    <w:p>
      <w:pPr>
        <w:spacing w:after="80" w:before="80"/>
        <w:jc w:val="both"/>
      </w:pPr>
      <w:r>
        <w:rPr>
          <w:rFonts w:ascii="Arial" w:cs="Arial" w:eastAsia="Arial" w:hAnsi="Arial"/>
          <w:b w:val="false"/>
          <w:bCs w:val="false"/>
          <w:i w:val="false"/>
          <w:iCs w:val="false"/>
          <w:color w:val="000000"/>
          <w:sz w:val="22"/>
          <w:szCs w:val="22"/>
        </w:rPr>
        <w:t xml:space="preserve">Les institutions signataires de la présente Charte s’engagent formellement à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1"/>
              <w:left w:val="none" w:color="FFFFFF" w:sz="0"/>
              <w:bottom w:val="single" w:color="CCCCCC" w:sz="1"/>
              <w:right w:val="single" w:color="CCCCCC" w:sz="1"/>
            </w:tcBorders>
            <w:shd w:fill="FFF8F0" w:val="clear"/>
            <w:tcMar>
              <w:top w:type="dxa" w:w="100"/>
              <w:left w:type="dxa" w:w="160"/>
              <w:bottom w:type="dxa" w:w="100"/>
              <w:right w:type="dxa" w:w="160"/>
            </w:tcMar>
          </w:tcPr>
          <w:p>
            <w:pPr>
              <w:jc w:val="both"/>
            </w:pPr>
            <w:r>
              <w:rPr>
                <w:rFonts w:ascii="Arial" w:cs="Arial" w:eastAsia="Arial" w:hAnsi="Arial"/>
                <w:sz w:val="20"/>
                <w:szCs w:val="20"/>
              </w:rPr>
              <w:t xml:space="preserve">Ne jamais exercer de pression sur le Secrétariat technique OSA ni sur le Conseil scientifique panafricain pour modifier des résultats, des méthodes ou des calendriers de publication.</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1"/>
              <w:left w:val="none" w:color="FFFFFF" w:sz="0"/>
              <w:bottom w:val="single" w:color="CCCCCC" w:sz="1"/>
              <w:right w:val="single" w:color="CCCCCC" w:sz="1"/>
            </w:tcBorders>
            <w:shd w:fill="FFF8F0" w:val="clear"/>
            <w:tcMar>
              <w:top w:type="dxa" w:w="100"/>
              <w:left w:type="dxa" w:w="160"/>
              <w:bottom w:type="dxa" w:w="100"/>
              <w:right w:type="dxa" w:w="160"/>
            </w:tcMar>
          </w:tcPr>
          <w:p>
            <w:pPr>
              <w:jc w:val="both"/>
            </w:pPr>
            <w:r>
              <w:rPr>
                <w:rFonts w:ascii="Arial" w:cs="Arial" w:eastAsia="Arial" w:hAnsi="Arial"/>
                <w:sz w:val="20"/>
                <w:szCs w:val="20"/>
              </w:rPr>
              <w:t xml:space="preserve">Respecter le calendrier de publication officiel et n’utiliser aucune donnée non publiée de l’OSA à des fins politiques, diplomatiques ou commerciales.</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1"/>
              <w:left w:val="none" w:color="FFFFFF" w:sz="0"/>
              <w:bottom w:val="single" w:color="CCCCCC" w:sz="1"/>
              <w:right w:val="single" w:color="CCCCCC" w:sz="1"/>
            </w:tcBorders>
            <w:shd w:fill="FFF8F0" w:val="clear"/>
            <w:tcMar>
              <w:top w:type="dxa" w:w="100"/>
              <w:left w:type="dxa" w:w="160"/>
              <w:bottom w:type="dxa" w:w="100"/>
              <w:right w:type="dxa" w:w="160"/>
            </w:tcMar>
          </w:tcPr>
          <w:p>
            <w:pPr>
              <w:jc w:val="both"/>
            </w:pPr>
            <w:r>
              <w:rPr>
                <w:rFonts w:ascii="Arial" w:cs="Arial" w:eastAsia="Arial" w:hAnsi="Arial"/>
                <w:sz w:val="20"/>
                <w:szCs w:val="20"/>
              </w:rPr>
              <w:t xml:space="preserve">Citer l’OSA avec exactitude — sans extrapolation, sans raccourci et sans décontextualisation — dans toute communication publique, rapport officiel ou discours diplomatique.</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1"/>
              <w:left w:val="none" w:color="FFFFFF" w:sz="0"/>
              <w:bottom w:val="single" w:color="CCCCCC" w:sz="1"/>
              <w:right w:val="single" w:color="CCCCCC" w:sz="1"/>
            </w:tcBorders>
            <w:shd w:fill="FFF8F0" w:val="clear"/>
            <w:tcMar>
              <w:top w:type="dxa" w:w="100"/>
              <w:left w:type="dxa" w:w="160"/>
              <w:bottom w:type="dxa" w:w="100"/>
              <w:right w:type="dxa" w:w="160"/>
            </w:tcMar>
          </w:tcPr>
          <w:p>
            <w:pPr>
              <w:jc w:val="both"/>
            </w:pPr>
            <w:r>
              <w:rPr>
                <w:rFonts w:ascii="Arial" w:cs="Arial" w:eastAsia="Arial" w:hAnsi="Arial"/>
                <w:sz w:val="20"/>
                <w:szCs w:val="20"/>
              </w:rPr>
              <w:t xml:space="preserve">Contribuer activement à la constitution et au financement du Conseil scientifique panafricain, dans le strict respect de son indépendance décisionnelle.</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1"/>
              <w:left w:val="none" w:color="FFFFFF" w:sz="0"/>
              <w:bottom w:val="single" w:color="CCCCCC" w:sz="1"/>
              <w:right w:val="single" w:color="CCCCCC" w:sz="1"/>
            </w:tcBorders>
            <w:shd w:fill="FFF8F0" w:val="clear"/>
            <w:tcMar>
              <w:top w:type="dxa" w:w="100"/>
              <w:left w:type="dxa" w:w="160"/>
              <w:bottom w:type="dxa" w:w="100"/>
              <w:right w:type="dxa" w:w="160"/>
            </w:tcMar>
          </w:tcPr>
          <w:p>
            <w:pPr>
              <w:jc w:val="both"/>
            </w:pPr>
            <w:r>
              <w:rPr>
                <w:rFonts w:ascii="Arial" w:cs="Arial" w:eastAsia="Arial" w:hAnsi="Arial"/>
                <w:sz w:val="20"/>
                <w:szCs w:val="20"/>
              </w:rPr>
              <w:t xml:space="preserve">Signaler au Conseil scientifique toute tentative d’influence indue sur l’OSA, quelle qu’en soit la source.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Signatures</w:t>
      </w:r>
    </w:p>
    <w:p>
      <w:pPr>
        <w:spacing w:after="80" w:before="80"/>
        <w:jc w:val="both"/>
      </w:pPr>
      <w:r>
        <w:rPr>
          <w:rFonts w:ascii="Arial" w:cs="Arial" w:eastAsia="Arial" w:hAnsi="Arial"/>
          <w:b w:val="false"/>
          <w:bCs w:val="false"/>
          <w:i w:val="false"/>
          <w:iCs w:val="false"/>
          <w:color w:val="000000"/>
          <w:sz w:val="22"/>
          <w:szCs w:val="22"/>
        </w:rPr>
        <w:t xml:space="preserve">En foi de quoi, les représentants dûment autorisés des institutions signataires ont apposé leur signature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Union africaine</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Commission économique
pour l’Afrique (CEA)</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Banque africaine de
développement (BAD)</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Secrétariat technique OSA</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468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Conseil scientifique panafricain
(Président)</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r>
    </w:tbl>
    <w:p>
      <w:pPr>
        <w:spacing w:after="100" w:before="100"/>
      </w:pPr>
      <w:r>
        <w:t xml:space="preserve"/>
      </w:r>
    </w:p>
    <w:p>
      <w:pPr>
        <w:spacing w:after="100" w:before="100"/>
      </w:pPr>
      <w:r>
        <w:t xml:space="preserve"/>
      </w:r>
    </w:p>
    <w:p>
      <w:pPr>
        <w:spacing w:before="240"/>
        <w:jc w:val="center"/>
      </w:pPr>
      <w:r>
        <w:rPr>
          <w:rFonts w:ascii="Arial" w:cs="Arial" w:eastAsia="Arial" w:hAnsi="Arial"/>
          <w:i/>
          <w:iCs/>
          <w:color w:val="888888"/>
          <w:sz w:val="18"/>
          <w:szCs w:val="18"/>
        </w:rPr>
        <w:t xml:space="preserve">Observatoire de la Souveraineté Africaine — Charte de neutralité scientifique v1.0 — Mai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Charte de neutralité scientifique — Version publique —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2026-05-24T16:35:47.548Z</dcterms:created>
  <dcterms:modified xsi:type="dcterms:W3CDTF">2026-05-24T16:35:47.560Z</dcterms:modified>
</cp:coreProperties>
</file>

<file path=docProps/custom.xml><?xml version="1.0" encoding="utf-8"?>
<Properties xmlns="http://schemas.openxmlformats.org/officeDocument/2006/custom-properties" xmlns:vt="http://schemas.openxmlformats.org/officeDocument/2006/docPropsVTypes"/>
</file>