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6B"/>
          <w:sz w:val="40"/>
          <w:szCs w:val="40"/>
        </w:rPr>
        <w:t xml:space="preserve">OBSERVATOIRE DE LA SOUVERAINETÉ AFRICAINE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80"/>
              <w:left w:type="dxa" w:w="360"/>
              <w:bottom w:type="dxa" w:w="280"/>
              <w:right w:type="dxa" w:w="360"/>
            </w:tcMar>
          </w:tcPr>
          <w:p>
            <w:pPr>
              <w:jc w:val="center"/>
            </w:pPr>
            <w:r>
              <w:rPr>
                <w:rFonts w:ascii="Arial" w:cs="Arial" w:eastAsia="Arial" w:hAnsi="Arial"/>
                <w:b/>
                <w:bCs/>
                <w:color w:val="FFFFFF"/>
                <w:sz w:val="40"/>
                <w:szCs w:val="40"/>
              </w:rPr>
              <w:t xml:space="preserve">MODÈLE SCIENTIFIQUE DE L’INDICE DE SOUVERAINETÉ AFRICAINE</w:t>
            </w:r>
          </w:p>
          <w:p>
            <w:pPr>
              <w:jc w:val="center"/>
            </w:pPr>
            <w:r>
              <w:rPr>
                <w:rFonts w:ascii="Arial" w:cs="Arial" w:eastAsia="Arial" w:hAnsi="Arial"/>
                <w:i/>
                <w:iCs/>
                <w:color w:val="BDD7EE"/>
                <w:sz w:val="24"/>
                <w:szCs w:val="24"/>
              </w:rPr>
              <w:t xml:space="preserve">Version 2.0 — Révision intégrale post-Sprint 11 — Mai 2026</w:t>
            </w:r>
          </w:p>
        </w:tc>
      </w:tr>
    </w:tbl>
    <w:p>
      <w:pPr>
        <w:spacing w:after="100" w:before="100"/>
      </w:pPr>
      <w:r>
        <w:t xml:space="preserve"/>
      </w:r>
    </w:p>
    <w:p>
      <w:pPr>
        <w:spacing w:after="80" w:before="80"/>
        <w:jc w:val="center"/>
      </w:pPr>
      <w:r>
        <w:rPr>
          <w:rFonts w:ascii="Arial" w:cs="Arial" w:eastAsia="Arial" w:hAnsi="Arial"/>
          <w:i/>
          <w:iCs/>
          <w:color w:val="555555"/>
          <w:sz w:val="22"/>
          <w:szCs w:val="22"/>
        </w:rPr>
        <w:t xml:space="preserve">À l’usage du Conseil scientifique panafricain et des partenaires académiques</w:t>
      </w:r>
    </w:p>
    <w:p>
      <w:pPr>
        <w:spacing w:after="480" w:before="40"/>
        <w:jc w:val="center"/>
      </w:pPr>
      <w:r>
        <w:rPr>
          <w:rFonts w:ascii="Arial" w:cs="Arial" w:eastAsia="Arial" w:hAnsi="Arial"/>
          <w:color w:val="888888"/>
          <w:sz w:val="20"/>
          <w:szCs w:val="20"/>
        </w:rPr>
        <w:t xml:space="preserve">Mai 2026 — Confidentiel — Usage académique et institutionnel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jc w:val="both"/>
            </w:pPr>
            <w:r>
              <w:rPr>
                <w:rFonts w:ascii="Arial" w:cs="Arial" w:eastAsia="Arial" w:hAnsi="Arial"/>
                <w:i/>
                <w:iCs/>
                <w:color w:val="1B3A6B"/>
                <w:sz w:val="21"/>
                <w:szCs w:val="21"/>
              </w:rPr>
              <w:t xml:space="preserve">« Ce document est la version révisée et validée du modèle scientifique fondateur de l’ISA. Il intègre onze sprints de développement, les décisions architecturales formalisées, et les apports doctrinaux originaux de l’OSA. Chaque écart avec le modèle d’origine est documenté, justifié et validé scientifiquement. »</w:t>
            </w:r>
          </w:p>
        </w:tc>
      </w:tr>
    </w:tbl>
    <w:p>
      <w:pPr>
        <w:spacing w:after="100" w:before="100"/>
      </w:pPr>
      <w:r>
        <w:t xml:space="preserve"/>
      </w:r>
    </w:p>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1. Architecture scientifique de l’ISA — 9 niveaux opérationnels</w:t>
      </w:r>
    </w:p>
    <w:p>
      <w:pPr>
        <w:spacing w:after="80" w:before="80"/>
        <w:jc w:val="both"/>
      </w:pPr>
      <w:r>
        <w:rPr>
          <w:rFonts w:ascii="Arial" w:cs="Arial" w:eastAsia="Arial" w:hAnsi="Arial"/>
          <w:b w:val="false"/>
          <w:bCs w:val="false"/>
          <w:i w:val="false"/>
          <w:iCs w:val="false"/>
          <w:color w:val="000000"/>
          <w:sz w:val="22"/>
          <w:szCs w:val="22"/>
        </w:rPr>
        <w:t xml:space="preserve">Le modèle d’origine prescrivait une architecture à 3 niveaux conceptuels (indicateurs → meta-indices → piliers → ISA). Le système réel implémente une architecture à 9 niveaux opérationnels, chacun avec une responsabilité unique et non recouvrante. La notion de « meta-indice » est absorbée par la gouvernance sémantique du Niveau 4, avec une justification doctrinale explicite plutôt qu’une agrégation arithmétique neutre.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Niveau</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 opérationnelle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1</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Collecte brute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Données primaires issues de 9 fournisseurs institutionnels (World Bank, IMF, FAO, UNDP, UNESCO, SIPRI, ACLED, EITI, ITU). Chaque valeur est stockée avec traçabilité complète : source, date, statut d’observation, missing_reason si absente.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2</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Imputation statistique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Comblement des valeurs manquantes par méthode MICE (Multiple Imputation by Chained Equations), appliquée par pilier. Chaque valeur imputée reçoit un score de confiance [0, 1] qui enregistre l’incertitude de l’imputation.</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3</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Normalisation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Transformation Min-Max sur bornes de référence figées (période d’étalonnage 2010–2020, version v1_2026). Les bornes ne sont jamais recalculées silencieusement — elles ne changent que lors d’une recalibration officielle validée.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4</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Gouvernance sémantique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Classification de chaque indicateur selon 13 codes sémantiques (PHYSICAL, STRUCTURAL, EVENT, PERCEPTION…). Attribution de 5 dimensions de pondération par indicateur : souveraineté, vulnérabilité, forecastabilité, confiance, ML-readiness.</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5</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Scores composites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Agrégation pondérée produisant 6 dimensions de score par pays/pilier/année : ISA observé, souveraineté, vulnérabilité, résilience, forecastabilité, ML-readiness.</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6</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Publication officielle figée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Scores ISA observés certifiés, versionés et immuables. Référence officielle pour toute communication institutionnelle. Aucune modification rétroactive possible.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7</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Intelligence souveraine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Couche analytique multi-modulaire : diagnostic SWOT, simulation de scénarios what-if, système d’alerte précoce AMAR, moteur de décision stratégique, gouvernance exécutive.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8</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Intelligence prédictive probabiliste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Calcul de probabilités d’exécution par pays/pilier avec intervalles de confiance. Statut provisoire documenté — les probabilités ne sont pas des prédictions certifiées.</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9</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Publication et diffusion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 REST publique (32 endpoints), OpenAPI 3.1. Vues de publication par pays, pilier, année. Fiches institutionnelles pays pour la phase d’appropriation 2026.</w:t>
            </w:r>
          </w:p>
        </w:tc>
      </w:tr>
    </w:tbl>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2. Normalisation sur bornes de référence figées</w:t>
      </w:r>
    </w:p>
    <w:p>
      <w:pPr>
        <w:pStyle w:val="Heading2"/>
        <w:spacing w:after="140" w:before="280"/>
      </w:pPr>
      <w:r>
        <w:rPr>
          <w:rFonts w:ascii="Arial" w:cs="Arial" w:eastAsia="Arial" w:hAnsi="Arial"/>
          <w:b/>
          <w:bCs/>
          <w:color w:val="2E5597"/>
          <w:sz w:val="28"/>
          <w:szCs w:val="28"/>
        </w:rPr>
        <w:t xml:space="preserve">2.1 Formule de normalisation</w:t>
      </w:r>
    </w:p>
    <w:p>
      <w:pPr>
        <w:spacing w:after="80" w:before="80"/>
        <w:jc w:val="both"/>
      </w:pPr>
      <w:r>
        <w:rPr>
          <w:rFonts w:ascii="Arial" w:cs="Arial" w:eastAsia="Arial" w:hAnsi="Arial"/>
          <w:b w:val="false"/>
          <w:bCs w:val="false"/>
          <w:i w:val="false"/>
          <w:iCs w:val="false"/>
          <w:color w:val="000000"/>
          <w:sz w:val="22"/>
          <w:szCs w:val="22"/>
        </w:rPr>
        <w:t xml:space="preserve">La normalisation Min-Max est retenue comme méthode de transformation des indicateurs vers l’échelle [0, 1]. Elle est appliquée sur des bornes de référence figées, calculées une fois sur la période d’étalonnage 2010–2020 et intégrées dans la table de référence immuable rf.normalization_bounds (version v1_2026).</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3A6B" w:sz="6"/>
              <w:bottom w:val="single" w:color="CCCCCC" w:sz="1"/>
              <w:right w:val="none" w:color="FFFFFF" w:sz="0"/>
            </w:tcBorders>
            <w:shd w:fill="F5F7FA" w:val="clear"/>
            <w:tcMar>
              <w:top w:type="dxa" w:w="120"/>
              <w:left w:type="dxa" w:w="200"/>
              <w:bottom w:type="dxa" w:w="120"/>
              <w:right w:type="dxa" w:w="200"/>
            </w:tcMar>
          </w:tcPr>
          <w:p>
            <w:pPr>
              <w:jc w:val="left"/>
            </w:pPr>
            <w:r>
              <w:rPr>
                <w:rFonts w:ascii="Courier New" w:cs="Courier New" w:eastAsia="Courier New" w:hAnsi="Courier New"/>
                <w:color w:val="1B3A6B"/>
                <w:sz w:val="20"/>
                <w:szCs w:val="20"/>
              </w:rPr>
              <w:t xml:space="preserve">Indicateur de direction positive (+) :
I_norm(c, t) = (X(c,t) − Xmin_ref) / (Xmax_ref − Xmin_ref)
Indicateur de direction négative (−) :
I_norm(c, t) = (Xmax_ref − X(c,t)) / (Xmax_ref − Xmin_ref)
où :
  X(c,t)   = valeur observée pour le pays c à l’année t
  Xmin_ref = borne minimale de référence (figée sur 2010–2020)
  Xmax_ref = borne maximale de référence (figée sur 2010–2020)</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2.2 Pourquoi les bornes doivent être figées</w:t>
      </w:r>
    </w:p>
    <w:p>
      <w:pPr>
        <w:spacing w:after="80" w:before="80"/>
        <w:jc w:val="both"/>
      </w:pPr>
      <w:r>
        <w:rPr>
          <w:rFonts w:ascii="Arial" w:cs="Arial" w:eastAsia="Arial" w:hAnsi="Arial"/>
          <w:b w:val="false"/>
          <w:bCs w:val="false"/>
          <w:i w:val="false"/>
          <w:iCs w:val="false"/>
          <w:color w:val="000000"/>
          <w:sz w:val="22"/>
          <w:szCs w:val="22"/>
        </w:rPr>
        <w:t xml:space="preserve">Le modèle d’origine prescrivait un Min-Max naïf sans précision sur la fenêtre temporelle de calcul des bornes — implicitement recalculées à chaque publication. Cette approche compromet la comparabilité inter-temporelle des scores : un score de 0,65 obtenu en 2015 et un score de 0,65 obtenu en 2022 ne représentent pas la même performance souveraine si les bornes ont évolué entre les deux dates.</w:t>
      </w:r>
    </w:p>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Les bornes figées garantissent quatre propriétés scientifiques fondamentales :</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Comparabilité inter-temporelle : tout score ISA est directement comparable à n’importe quel autre score ISA, quelle que soit l’année de calcul.</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Stabilité des classements relatifs : les évolutions de rang entre publications successives reflètent des évolutions réelles de performance, non des changements de bornes.</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Détection d’anomalies : une valeur hors [0, 1] après normalisation signale un dépassement de borne — signal d’alerte sur la qualité de la donnée ou d’une évolution structurelle exceptionnelle.</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Reproductibilité totale : toute institution indépendante peut recalculer les scores ISA à l’identique à partir des données brutes et des bornes de référence publiées.</w:t>
      </w:r>
    </w:p>
    <w:p>
      <w:pPr>
        <w:spacing w:after="100" w:before="100"/>
      </w:pPr>
      <w:r>
        <w:t xml:space="preserve"/>
      </w:r>
    </w:p>
    <w:p>
      <w:pPr>
        <w:pStyle w:val="Heading2"/>
        <w:spacing w:after="140" w:before="280"/>
      </w:pPr>
      <w:r>
        <w:rPr>
          <w:rFonts w:ascii="Arial" w:cs="Arial" w:eastAsia="Arial" w:hAnsi="Arial"/>
          <w:b/>
          <w:bCs/>
          <w:color w:val="2E5597"/>
          <w:sz w:val="28"/>
          <w:szCs w:val="28"/>
        </w:rPr>
        <w:t xml:space="preserve">2.3 Politique de révision des bornes</w:t>
      </w:r>
    </w:p>
    <w:p>
      <w:pPr>
        <w:spacing w:after="80" w:before="80"/>
        <w:jc w:val="both"/>
      </w:pPr>
      <w:r>
        <w:rPr>
          <w:rFonts w:ascii="Arial" w:cs="Arial" w:eastAsia="Arial" w:hAnsi="Arial"/>
          <w:b w:val="false"/>
          <w:bCs w:val="false"/>
          <w:i w:val="false"/>
          <w:iCs w:val="false"/>
          <w:color w:val="000000"/>
          <w:sz w:val="22"/>
          <w:szCs w:val="22"/>
        </w:rPr>
        <w:t xml:space="preserve">Les bornes de référence ne peuvent être révisées que lors d’une recalibration officielle, formellement validée par le Conseil scientifique panafricain, et publiée sous un numéro de version distinct (v2_20xx). Toute recalibration produit une rupture de série documentée — les scores antérieurs à la recalibration ne sont jamais modifiés rétroactivement.</w:t>
      </w:r>
    </w:p>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3. Méthodes analytiques — Décisions et justifications</w:t>
      </w:r>
    </w:p>
    <w:p>
      <w:pPr>
        <w:pStyle w:val="Heading2"/>
        <w:spacing w:after="140" w:before="280"/>
      </w:pPr>
      <w:r>
        <w:rPr>
          <w:rFonts w:ascii="Arial" w:cs="Arial" w:eastAsia="Arial" w:hAnsi="Arial"/>
          <w:b/>
          <w:bCs/>
          <w:color w:val="2E5597"/>
          <w:sz w:val="28"/>
          <w:szCs w:val="28"/>
        </w:rPr>
        <w:t xml:space="preserve">3.1 Z-score — Abandonné</w:t>
      </w:r>
    </w:p>
    <w:p>
      <w:pPr>
        <w:spacing w:after="80" w:before="80"/>
        <w:jc w:val="both"/>
      </w:pPr>
      <w:r>
        <w:rPr>
          <w:rFonts w:ascii="Arial" w:cs="Arial" w:eastAsia="Arial" w:hAnsi="Arial"/>
          <w:b w:val="false"/>
          <w:bCs w:val="false"/>
          <w:i w:val="false"/>
          <w:iCs w:val="false"/>
          <w:color w:val="000000"/>
          <w:sz w:val="22"/>
          <w:szCs w:val="22"/>
        </w:rPr>
        <w:t xml:space="preserve">Le modèle d’origine proposait le Z-score comme méthode alternative de normalisation. Trois incompatibilités structurelles avec la doctrine ISA justifient son abandon.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Incompatibilité</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Justification scientifique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 — Valeurs non bornées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 Z-score produit des valeurs négatives et non bornées. Un pays en crise extrême peut obtenir Z = −4 ou −5 — valeur sans signification interpretable pour un décideur politique africain. La doctrine ISA exige des scores compris dans [0, 1] pour permettre une lecture directe de la performance souveraine.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2 — Circularité avec Min-Max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transformation secondaire proposée (Z − Zmin) / (Zmax − Zmin) est elle-même un Min-Max appliqué aux Z-scores. Le résultat est équivalent à un Min-Max direct sur les valeurs originales, avec une complexité computationnelle supérieure et aucun gain analytique.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3 — Instabilité temporelle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moyenne μ et l’écart-type σ sont recalculés sur la distribution courante des pays. Les scores ne sont pas comparables entre années si la distribution évolue — le problème que les bornes figées résolvent précisément.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60"/>
              <w:left w:type="dxa" w:w="240"/>
              <w:bottom w:type="dxa" w:w="160"/>
              <w:right w:type="dxa" w:w="240"/>
            </w:tcMar>
          </w:tcPr>
          <w:p>
            <w:pPr>
              <w:jc w:val="both"/>
            </w:pPr>
            <w:r>
              <w:rPr>
                <w:rFonts w:ascii="Arial" w:cs="Arial" w:eastAsia="Arial" w:hAnsi="Arial"/>
                <w:i/>
                <w:iCs/>
                <w:color w:val="7F6000"/>
                <w:sz w:val="21"/>
                <w:szCs w:val="21"/>
              </w:rPr>
              <w:t xml:space="preserve">Usage résiduel légitime : le Z-score reste un outil de diagnostic statistique pour la détection de valeurs aberrantes (outliers) avant l’étape de normalisation. Il n’entre pas dans le calcul des scores publiés.</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3.2 Pondération par entropie — Repositionnée en outil de diagnostic</w:t>
      </w:r>
    </w:p>
    <w:p>
      <w:pPr>
        <w:spacing w:after="80" w:before="80"/>
        <w:jc w:val="both"/>
      </w:pPr>
      <w:r>
        <w:rPr>
          <w:rFonts w:ascii="Arial" w:cs="Arial" w:eastAsia="Arial" w:hAnsi="Arial"/>
          <w:b w:val="false"/>
          <w:bCs w:val="false"/>
          <w:i w:val="false"/>
          <w:iCs w:val="false"/>
          <w:color w:val="000000"/>
          <w:sz w:val="22"/>
          <w:szCs w:val="22"/>
        </w:rPr>
        <w:t xml:space="preserve">Le modèle d’origine proposait la pondération entropique comme méthode principale d’attribution des poids indicateurs. Trois incompatibilités doctrinales en justifient le repositionnement.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Incompatibilité</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Justification scientifique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 — Confusion variance / pertinence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pondération entropique récompense la variance statistique. Un indicateur peut être très discriminant statistiquement tout en étant doctrinalement non pertinent (ex. : nombre de téléphones mobiles). Inversement, un indicateur clé à faible variance entre pays membres EITI recevrait un poids injustifiément faible.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2 — Instabilité temporelle des poids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poids entropiques sont recalculés sur la distribution courante et changent à chaque publication. Un décideur qui observe que le poids de son indicateur prioritaire a diminué sans raison doctrinale identifiable perd confiance dans l’indice. La stabilité des poids est une condition de crédibilité institutionnelle.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3 — Opacité interprétative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poids entropique de 0,034 ne peut pas être expliqué à un partenaire institutionnel en termes de souveraineté africaine. Il ne reflète aucune décision conceptuelle. La doctrine ISA exige que chaque choix méthodologique soit justifiable et communicable aux États africains.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jc w:val="both"/>
            </w:pPr>
            <w:r>
              <w:rPr>
                <w:rFonts w:ascii="Arial" w:cs="Arial" w:eastAsia="Arial" w:hAnsi="Arial"/>
                <w:i/>
                <w:iCs/>
                <w:color w:val="1B3A6B"/>
                <w:sz w:val="21"/>
                <w:szCs w:val="21"/>
              </w:rPr>
              <w:t xml:space="preserve">Usage repositionné : la pondération entropique est utilisée comme indicateur de robustesse diagnostique. Si un indicateur présente une entropie très faible (quasi-constante entre pays), c’est un signal d’alerte : soit les données sont de mauvaise qualité, soit l’indicateur ne discrimine pas les souverainetés africaines et mérite une révision doctrinale.</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3.3 ACP (Analyse en Composantes Principales) — Abandonnée comme méthode de calcul</w:t>
      </w:r>
    </w:p>
    <w:p>
      <w:pPr>
        <w:spacing w:after="80" w:before="80"/>
        <w:jc w:val="both"/>
      </w:pPr>
      <w:r>
        <w:rPr>
          <w:rFonts w:ascii="Arial" w:cs="Arial" w:eastAsia="Arial" w:hAnsi="Arial"/>
          <w:b w:val="false"/>
          <w:bCs w:val="false"/>
          <w:i w:val="false"/>
          <w:iCs w:val="false"/>
          <w:color w:val="000000"/>
          <w:sz w:val="22"/>
          <w:szCs w:val="22"/>
        </w:rPr>
        <w:t xml:space="preserve">Le modèle d’origine proposait l’ACP pour réduire la dimensionnalité et identifier les facteurs dominants. Quatre incompatibilités doctrinales en justifient l’abandon comme méthode de calcul ISA.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Incompatibilité</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Justification scientifique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 — Perte d’interprétabilité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Une composante principale est une combinaison linéaire d’indicateurs sans signification conceptuelle a priori. Aucun État africain, aucun partenaire institutionnel ne peut interpréter un score PC1 ni l’utiliser pour piloter une politique publique. La doctrine ISA exige des scores directement interprétables en termes de capacité souveraine observable.</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2 — Instabilité des composantes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vecteurs propres changent si un nouveau pays entre dans l’échantillon, si des données manquantes sont imputées différemment, ou si une nouvelle année est ajoutée. L’ISA 2020 recalculé en 2024 diffèrerait de l’ISA 2020 calculé en 2022 avec les mêmes données brutes — incompatible avec le principe d’immuabilité.</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3 — Réduction arbitraire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souveraineté africaine est multidimensionnelle par construction doctrinale. Réduire 10 piliers à quelques composantes selon un critère purement statistique efface des pans entiers de la réalité souveraine africaine que des dirigeants politiques ont intérêt à comprendre et à piloter.</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4 — Opacité diagnostique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État dont le score ISA baisse doit comprendre pourquoi : quel pilier, quel indicateur, quelle évolution. Avec l’ACP, la réponse serait : « votre score PC1 a diminué parce que la corrélation entre vos indicateurs s’est modifiée ». La transparence diagnostique exige une décomposition par pilier et par indicateur.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jc w:val="both"/>
            </w:pPr>
            <w:r>
              <w:rPr>
                <w:rFonts w:ascii="Arial" w:cs="Arial" w:eastAsia="Arial" w:hAnsi="Arial"/>
                <w:i/>
                <w:iCs/>
                <w:color w:val="1B3A6B"/>
                <w:sz w:val="21"/>
                <w:szCs w:val="21"/>
              </w:rPr>
              <w:t xml:space="preserve">Usage résiduel légitime : (1) Détection de redondance entre indicateurs — si deux indicateurs présentent une corrélation supérieure à 0,90, l’un d’eux mérite une révision doctrinale. (2) Validation de l’indépendance structurelle des 10 piliers — mission périodique du Conseil scientifique panafricain.</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3.4 Winsorisation — Conditionnelle et documentée</w:t>
      </w:r>
    </w:p>
    <w:p>
      <w:pPr>
        <w:spacing w:after="80" w:before="80"/>
        <w:jc w:val="both"/>
      </w:pPr>
      <w:r>
        <w:rPr>
          <w:rFonts w:ascii="Arial" w:cs="Arial" w:eastAsia="Arial" w:hAnsi="Arial"/>
          <w:b w:val="false"/>
          <w:bCs w:val="false"/>
          <w:i w:val="false"/>
          <w:iCs w:val="false"/>
          <w:color w:val="000000"/>
          <w:sz w:val="22"/>
          <w:szCs w:val="22"/>
        </w:rPr>
        <w:t xml:space="preserve">Le modèle d’origine prescrivait une winsorisation systématique au 1er et 99e percentile. Cette approche naïve est incompatible avec deux principes doctrinaux fondamentaux de l’ISA.</w:t>
      </w:r>
    </w:p>
    <w:p>
      <w:pPr>
        <w:spacing w:after="100" w:before="100"/>
      </w:pPr>
      <w:r>
        <w:t xml:space="preserve"/>
      </w:r>
    </w:p>
    <w:p>
      <w:pPr>
        <w:spacing w:after="80" w:before="80"/>
        <w:jc w:val="both"/>
      </w:pPr>
      <w:r>
        <w:rPr>
          <w:rFonts w:ascii="Arial" w:cs="Arial" w:eastAsia="Arial" w:hAnsi="Arial"/>
          <w:b/>
          <w:bCs/>
          <w:i w:val="false"/>
          <w:iCs w:val="false"/>
          <w:color w:val="000000"/>
          <w:sz w:val="22"/>
          <w:szCs w:val="22"/>
        </w:rPr>
        <w:t xml:space="preserve">Incompatibilité 1 — Incompatibilité avec les bornes figées : </w:t>
      </w:r>
      <w:r>
        <w:rPr>
          <w:rFonts w:ascii="Arial" w:cs="Arial" w:eastAsia="Arial" w:hAnsi="Arial"/>
          <w:b w:val="false"/>
          <w:bCs w:val="false"/>
          <w:i w:val="false"/>
          <w:iCs w:val="false"/>
          <w:color w:val="000000"/>
          <w:sz w:val="22"/>
          <w:szCs w:val="22"/>
        </w:rPr>
        <w:t xml:space="preserve">appliquer la winsorisation aux données brutes avant le calcul des bornes modifie les bornes de référence elles-mêmes. Si elle est appliquée après, elle risque d’écraser des signaux souverains légitimes : un pays sortant d’un conflit majeur et dont les indicateurs ACLED chutent sous le 1er percentile mérite un score proche de 1,0, non un score tronqué.</w:t>
      </w:r>
    </w:p>
    <w:p>
      <w:pPr>
        <w:spacing w:after="100" w:before="100"/>
      </w:pPr>
      <w:r>
        <w:t xml:space="preserve"/>
      </w:r>
    </w:p>
    <w:p>
      <w:pPr>
        <w:spacing w:after="80" w:before="80"/>
        <w:jc w:val="both"/>
      </w:pPr>
      <w:r>
        <w:rPr>
          <w:rFonts w:ascii="Arial" w:cs="Arial" w:eastAsia="Arial" w:hAnsi="Arial"/>
          <w:b/>
          <w:bCs/>
          <w:i w:val="false"/>
          <w:iCs w:val="false"/>
          <w:color w:val="000000"/>
          <w:sz w:val="22"/>
          <w:szCs w:val="22"/>
        </w:rPr>
        <w:t xml:space="preserve">Incompatibilité 2 — Les extrêmes sont des signaux souverains : </w:t>
      </w:r>
      <w:r>
        <w:rPr>
          <w:rFonts w:ascii="Arial" w:cs="Arial" w:eastAsia="Arial" w:hAnsi="Arial"/>
          <w:b w:val="false"/>
          <w:bCs w:val="false"/>
          <w:i w:val="false"/>
          <w:iCs w:val="false"/>
          <w:color w:val="000000"/>
          <w:sz w:val="22"/>
          <w:szCs w:val="22"/>
        </w:rPr>
        <w:t xml:space="preserve">la Doctrine ISA v1 (Axiome 2) pose que l’absence est un signal souverain. Par extension, une valeur extrême est aussi un signal souverain — elle reflète une réalité concrète observable. Remplacer systématiquement les extrêmes par des percentiles revient à censurer des situations souveraines réelles.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60"/>
              <w:left w:type="dxa" w:w="240"/>
              <w:bottom w:type="dxa" w:w="160"/>
              <w:right w:type="dxa" w:w="240"/>
            </w:tcMar>
          </w:tcPr>
          <w:p>
            <w:pPr>
              <w:jc w:val="both"/>
            </w:pPr>
            <w:r>
              <w:rPr>
                <w:rFonts w:ascii="Arial" w:cs="Arial" w:eastAsia="Arial" w:hAnsi="Arial"/>
                <w:i/>
                <w:iCs/>
                <w:color w:val="1B3A6B"/>
                <w:sz w:val="21"/>
                <w:szCs w:val="21"/>
              </w:rPr>
              <w:t xml:space="preserve">Politique retenue : winsorisation conditionnelle, limitée aux indicateurs de type COUNT à distribution fortement asymétrique (skewness &gt; 2), après transformation logarithmique log(1+x). Pour les indicateurs souverains à interprétation directe (ratios, scores, binaires), les valeurs extrêmes sont conservées comme signaux souverains légitimes. Toute winsorisation est documentée dans rf.indicators avec justification doctrinale et soumise à validation du Conseil scientifique.</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3.5 Analyse de sensibilité Monte Carlo — Planifiée Sprint 12</w:t>
      </w:r>
    </w:p>
    <w:p>
      <w:pPr>
        <w:spacing w:after="80" w:before="80"/>
        <w:jc w:val="both"/>
      </w:pPr>
      <w:r>
        <w:rPr>
          <w:rFonts w:ascii="Arial" w:cs="Arial" w:eastAsia="Arial" w:hAnsi="Arial"/>
          <w:b w:val="false"/>
          <w:bCs w:val="false"/>
          <w:i w:val="false"/>
          <w:iCs w:val="false"/>
          <w:color w:val="000000"/>
          <w:sz w:val="22"/>
          <w:szCs w:val="22"/>
        </w:rPr>
        <w:t xml:space="preserve">Le modèle d’origine prescrivait des simulations Monte Carlo pour tester la stabilité de l’indice. Cette prescription est validée et étendue à trois dimensions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Dimension</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Contenu</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Horizon</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1 — Poids indicateurs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Variation aléatoire ±20 % autour des poids doctrinaux sur 10 000 simulations. Mesure de l’écart-type des scores ISA pays résultants.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12</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2 — Poids piliers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Variation aléatoire ±50 % autour de la pondération égale sur 10 000 simulations. Mesure de l’impact sur les classements pays.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12</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3 — Incertitude imputation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Génération de M jeux d’imputations MICE et calcul de l’ISA sur chacun. Mesure de l’incertitude liée aux données manquantes.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Sprint 12</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60"/>
              <w:left w:type="dxa" w:w="240"/>
              <w:bottom w:type="dxa" w:w="160"/>
              <w:right w:type="dxa" w:w="240"/>
            </w:tcMar>
          </w:tcPr>
          <w:p>
            <w:pPr>
              <w:jc w:val="both"/>
            </w:pPr>
            <w:r>
              <w:rPr>
                <w:rFonts w:ascii="Arial" w:cs="Arial" w:eastAsia="Arial" w:hAnsi="Arial"/>
                <w:i/>
                <w:iCs/>
                <w:color w:val="7F6000"/>
                <w:sz w:val="21"/>
                <w:szCs w:val="21"/>
              </w:rPr>
              <w:t xml:space="preserve">En l’absence de cette analyse, les pondérations actuelles sont documentées comme provisoires et sujettes à révision académique. Les résultats seront soumis au Conseil scientifique panafricain avant le lancement institutionnel de septembre 2026.</w:t>
            </w:r>
          </w:p>
        </w:tc>
      </w:tr>
    </w:tbl>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4. Pondération des piliers — Décision provisoire et applicabilité conditionnelle</w:t>
      </w:r>
    </w:p>
    <w:p>
      <w:pPr>
        <w:pStyle w:val="Heading2"/>
        <w:spacing w:after="140" w:before="280"/>
      </w:pPr>
      <w:r>
        <w:rPr>
          <w:rFonts w:ascii="Arial" w:cs="Arial" w:eastAsia="Arial" w:hAnsi="Arial"/>
          <w:b/>
          <w:bCs/>
          <w:color w:val="2E5597"/>
          <w:sz w:val="28"/>
          <w:szCs w:val="28"/>
        </w:rPr>
        <w:t xml:space="preserve">4.1 Correction des incohérences du modèle d’origine</w:t>
      </w:r>
    </w:p>
    <w:p>
      <w:pPr>
        <w:spacing w:after="80" w:before="80"/>
        <w:jc w:val="both"/>
      </w:pPr>
      <w:r>
        <w:rPr>
          <w:rFonts w:ascii="Arial" w:cs="Arial" w:eastAsia="Arial" w:hAnsi="Arial"/>
          <w:b w:val="false"/>
          <w:bCs w:val="false"/>
          <w:i w:val="false"/>
          <w:iCs w:val="false"/>
          <w:color w:val="000000"/>
          <w:sz w:val="22"/>
          <w:szCs w:val="22"/>
        </w:rPr>
        <w:t xml:space="preserve">Le modèle d’origine présentait deux incohérences structurelles : PRES et PTRA apparaissaient dans la liste des piliers sans poids assigné dans les tableaux de pondération, rendant le calcul ISA mathématiquement incomplet. Deux tableaux de pondération contradictoires coexistaient (§7 : poids égaux 0,125 sur 8 piliers ; §13.7 : poids différenciés sans justification). Ces incohérences sont résolues par le système réel.</w:t>
      </w:r>
    </w:p>
    <w:p>
      <w:pPr>
        <w:spacing w:after="100" w:before="100"/>
      </w:pPr>
      <w:r>
        <w:t xml:space="preserve"/>
      </w:r>
    </w:p>
    <w:p>
      <w:pPr>
        <w:pStyle w:val="Heading2"/>
        <w:spacing w:after="140" w:before="280"/>
      </w:pPr>
      <w:r>
        <w:rPr>
          <w:rFonts w:ascii="Arial" w:cs="Arial" w:eastAsia="Arial" w:hAnsi="Arial"/>
          <w:b/>
          <w:bCs/>
          <w:color w:val="2E5597"/>
          <w:sz w:val="28"/>
          <w:szCs w:val="28"/>
        </w:rPr>
        <w:t xml:space="preserve">4.2 Pondération égale provisoire — trois justifications</w:t>
      </w:r>
    </w:p>
    <w:p>
      <w:pPr>
        <w:spacing w:after="80" w:before="80"/>
        <w:jc w:val="both"/>
      </w:pPr>
      <w:r>
        <w:rPr>
          <w:rFonts w:ascii="Arial" w:cs="Arial" w:eastAsia="Arial" w:hAnsi="Arial"/>
          <w:b w:val="false"/>
          <w:bCs w:val="false"/>
          <w:i w:val="false"/>
          <w:iCs w:val="false"/>
          <w:color w:val="000000"/>
          <w:sz w:val="22"/>
          <w:szCs w:val="22"/>
        </w:rPr>
        <w:t xml:space="preserve">La pondération égale à 0,10 par pilier est retenue comme hypothèse de travail provisoire pour la phase d’appropriation 2026. Elle repose sur trois arguments scientifiques explicites.</w:t>
      </w:r>
    </w:p>
    <w:p>
      <w:pPr>
        <w:spacing w:after="100" w:before="100"/>
      </w:pPr>
      <w:r>
        <w:t xml:space="preserve"/>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Absence de consensus empirique sur la hiérarchie souveraine : attribuer un poids de 0,15 à PGEO et 0,10 à PHUM revient à affirmer que la souveraineté géopolitique contribue 50 % plus que la souveraineté humaine à la souveraineté globale d’un État africain. Cette affirmation requiert une démonstration empirique ou un consensus académique que ni la littérature scientifique ni les institutions africaines n’ont encore produit de façon consensuelle.</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Neutralité politique indispensable : tout État africain dont la souveraineté sur un pilier est faible cherchera à minorer le poids de ce pilier. Dans le contexte de négociation institutionnelle africaine, toute pondération différenciée sera perçue comme un choix politique. La pondération égale est la seule position qui place l’OSA au-dessus des intérêts sectoriels particuliers pendant la phase d’appropriation.</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Priorité à la validation académique : la différenciation des poids doit résulter de l’analyse Monte Carlo (Section 3.5) et de la validation du Conseil scientifique panafricain, non d’une décision unilatérale du Secrétariat technique. Imposer des poids différenciés avant cette validation fragilise la légitimité institutionnelle de l’indice.</w:t>
      </w:r>
    </w:p>
    <w:p>
      <w:pPr>
        <w:spacing w:after="100" w:before="100"/>
      </w:pPr>
      <w:r>
        <w:t xml:space="preserve"/>
      </w:r>
    </w:p>
    <w:p>
      <w:pPr>
        <w:pStyle w:val="Heading2"/>
        <w:spacing w:after="140" w:before="280"/>
      </w:pPr>
      <w:r>
        <w:rPr>
          <w:rFonts w:ascii="Arial" w:cs="Arial" w:eastAsia="Arial" w:hAnsi="Arial"/>
          <w:b/>
          <w:bCs/>
          <w:color w:val="2E5597"/>
          <w:sz w:val="28"/>
          <w:szCs w:val="28"/>
        </w:rPr>
        <w:t xml:space="preserve">4.3 Discrimination structurelle et applicabilité conditionnelle</w:t>
      </w:r>
    </w:p>
    <w:p>
      <w:pPr>
        <w:spacing w:after="80" w:before="80"/>
        <w:jc w:val="both"/>
      </w:pPr>
      <w:r>
        <w:rPr>
          <w:rFonts w:ascii="Arial" w:cs="Arial" w:eastAsia="Arial" w:hAnsi="Arial"/>
          <w:b w:val="false"/>
          <w:bCs w:val="false"/>
          <w:i w:val="false"/>
          <w:iCs w:val="false"/>
          <w:color w:val="000000"/>
          <w:sz w:val="22"/>
          <w:szCs w:val="22"/>
        </w:rPr>
        <w:t xml:space="preserve">Un pays enclavé (Mali, Niger, Burkina Faso, Tchad…) est structurellement pénalisé sur PTRA par l’absence d’accès maritime — contrainte géographique héritée, non maîtrisable par aucune politique publique. De même, un pays sans secteur minier est pénalisé sur PMIN, un pays sans hydrocarbures sur PRES. La pondération égale ne résout pas ce problème si les indicateurs non applicables restent dans le calcul.</w:t>
      </w:r>
    </w:p>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 solution doctrinale retenue est l’applicabilité conditionnelle des indicateurs : chaque indicateur est évalué selon qu’il est physiquement applicable au pays concerné. Cette approche résout la discrimination structurelle au niveau de l’indicateur, sans modifier les poids piliers.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3A6B" w:sz="6"/>
              <w:bottom w:val="single" w:color="CCCCCC" w:sz="1"/>
              <w:right w:val="none" w:color="FFFFFF" w:sz="0"/>
            </w:tcBorders>
            <w:shd w:fill="F5F7FA" w:val="clear"/>
            <w:tcMar>
              <w:top w:type="dxa" w:w="120"/>
              <w:left w:type="dxa" w:w="200"/>
              <w:bottom w:type="dxa" w:w="120"/>
              <w:right w:type="dxa" w:w="200"/>
            </w:tcMar>
          </w:tcPr>
          <w:p>
            <w:pPr>
              <w:jc w:val="left"/>
            </w:pPr>
            <w:r>
              <w:rPr>
                <w:rFonts w:ascii="Courier New" w:cs="Courier New" w:eastAsia="Courier New" w:hAnsi="Courier New"/>
                <w:color w:val="1B3A6B"/>
                <w:sz w:val="20"/>
                <w:szCs w:val="20"/>
              </w:rPr>
              <w:t xml:space="preserve">PTRA(Mali)    = f(routes, aéroports, logistique terrestre)
              — indicateurs portuaires exclus (NOT_APPLICABLE)
PTRA(Sénégal) = f(routes, aéroports, logistique terrestre, ports)
              — périmètre complet</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4.4 Évolutivité des contraintes structurelles</w:t>
      </w:r>
    </w:p>
    <w:p>
      <w:pPr>
        <w:spacing w:after="80" w:before="80"/>
        <w:jc w:val="both"/>
      </w:pPr>
      <w:r>
        <w:rPr>
          <w:rFonts w:ascii="Arial" w:cs="Arial" w:eastAsia="Arial" w:hAnsi="Arial"/>
          <w:b w:val="false"/>
          <w:bCs w:val="false"/>
          <w:i w:val="false"/>
          <w:iCs w:val="false"/>
          <w:color w:val="000000"/>
          <w:sz w:val="22"/>
          <w:szCs w:val="22"/>
        </w:rPr>
        <w:t xml:space="preserve">Les contraintes physiques structurelles ne sont pas immuables. Trois catégories d’événements peuvent modifier le périmètre d’applicabilité d’un indicateur pour un pays.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 d’événement</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Exemple africain</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Condition de déclenchement</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Infrastructure transformant l’enclavement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Corridor de Lobito (DRC-Angola-Zambie) — Éthiopie-Djibouti (chemin de fer)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Corridor certifié + volume commercial dépassé un seuil (LPI World Bank)</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Découverte ou épuisement de ressources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Mozambique (gaz naturel 2010) — Zimbabwe (lithium) — Épuisement Gabon (pétrole)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Production commerciale certifiée ≥ 3 ans consécutifs (USGS + autorité nationale)</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Accord régional ou traité international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ZLECAf — Accès à la mer négocié — Adhésion / suspension EITI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Traité ratifié + infrastructure opérationnelle (ONU + registre officiel)</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Toute évolution de la situation structurelle est gérée selon quatre précautions architecturales :</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Table rf.structural_constraints versée et immuable : chaque contrainte structurelle est documentée avec dates de validité, source de certification et sprint de décision.</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Seuils de déclenchement objectifs et vérifiables : aucune déclaration unilatérale d’un gouvernement ne suffit à modifier le périmètre d’applicabilité.</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Non-rétroactivité des scores publiés : un changement structurel en 2025 ne modifie jamais les scores ISA 2010–2024 publiés. Marqueur structural_break appliqué à l’année de changement.</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Validation par le Conseil scientifique panafricain : toute modification du périmètre d’applicabilité est soumise à validation académique indépendante avant intégration.</w:t>
      </w:r>
    </w:p>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5. Classification des niveaux souverains — Doctrine AMAR</w:t>
      </w:r>
    </w:p>
    <w:p>
      <w:pPr>
        <w:spacing w:after="80" w:before="80"/>
        <w:jc w:val="both"/>
      </w:pPr>
      <w:r>
        <w:rPr>
          <w:rFonts w:ascii="Arial" w:cs="Arial" w:eastAsia="Arial" w:hAnsi="Arial"/>
          <w:b w:val="false"/>
          <w:bCs w:val="false"/>
          <w:i w:val="false"/>
          <w:iCs w:val="false"/>
          <w:color w:val="000000"/>
          <w:sz w:val="22"/>
          <w:szCs w:val="22"/>
        </w:rPr>
        <w:t xml:space="preserve">La classification à 5 niveaux statiques du modèle d’origine (80–100 : souveraineté forte ; 60–80 : consolidée ; 40–60 : fragile ; 20–40 : dépendance ; 0–20 : vulnérabilité) présentait quatre insuffisances structurelles majeures : seuils calibrés arbitrairement sans ancrage empirique africain, dimension unique (score global), absence de dynamique temporelle, et absence de dimension d’alerte. Elle est remplacée par la doctrine AMAR.</w:t>
      </w:r>
    </w:p>
    <w:p>
      <w:pPr>
        <w:spacing w:after="100" w:before="100"/>
      </w:pPr>
      <w:r>
        <w:t xml:space="preserve"/>
      </w:r>
    </w:p>
    <w:p>
      <w:pPr>
        <w:pStyle w:val="Heading2"/>
        <w:spacing w:after="140" w:before="280"/>
      </w:pPr>
      <w:r>
        <w:rPr>
          <w:rFonts w:ascii="Arial" w:cs="Arial" w:eastAsia="Arial" w:hAnsi="Arial"/>
          <w:b/>
          <w:bCs/>
          <w:color w:val="2E5597"/>
          <w:sz w:val="28"/>
          <w:szCs w:val="28"/>
        </w:rPr>
        <w:t xml:space="preserve">5.1 Les quatre insuffisances du modèle d’origine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Insuffisance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Impact sur la validité scientifique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1 — Seuils arbitraires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seuils 20, 40, 60, 80 ne sont issus d’aucune analyse empirique des données africaines. Avec 96 % des pays entre 0,35 et 0,65 en 2024, la quasi-totalité se retrouve dans « souveraineté fragile » — scientifiquement contestable et politiquement inacceptable.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2 — Dimension unique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score global de 0,52 peut masquer des profils radicalement différents : souveraineté économique forte / militaire faible vs distribution homogène. Ces deux pays ne méritent pas la même classification ni les mêmes recommandations stratégiques.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3 — Absence de dynamique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 pays passant de 0,35 à 0,48 en 5 ans mérite une reconnaissance de sa progression même en restant « fragile ». Un pays à 0,62 en déclin rapide présente un risque que la classification statique ne capture pas. La doctrine ISA — logique de trajectoire — est directement violée.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4 — Absence d’alerte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 classification ne distingue pas un pays stable à 0,30 d’un pays en crise rapide à 0,30. La notion de risque — pression institutionnelle, stress économique, escalade conflictuelle — est absente, alors qu’elle constitue la valeur stratégique principale de l’OSA pour les partenaires africains.</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5.2 La doctrine AMAR — 4 niveaux dynamiques</w:t>
      </w:r>
    </w:p>
    <w:p>
      <w:pPr>
        <w:spacing w:after="80" w:before="80"/>
        <w:jc w:val="both"/>
      </w:pPr>
      <w:r>
        <w:rPr>
          <w:rFonts w:ascii="Arial" w:cs="Arial" w:eastAsia="Arial" w:hAnsi="Arial"/>
          <w:b w:val="false"/>
          <w:bCs w:val="false"/>
          <w:i w:val="false"/>
          <w:iCs w:val="false"/>
          <w:color w:val="000000"/>
          <w:sz w:val="22"/>
          <w:szCs w:val="22"/>
        </w:rPr>
        <w:t xml:space="preserve">Le système d’alerte précoce AMAR (Atrocity, Multidimensional, Alert, Readiness) classe chaque pays selon un score composite à quatre composantes pondérées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Composante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Poids</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Risque souverain observé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38 %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Score ISA observé et trajectoire sur les 3 dernières années</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Diagnostic structurel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32 %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Forces et vulnérabilités par pilier (analyse SWOT)</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Stress humanitaire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20 %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Pression sur les populations civiles (ACLED, indicateurs PHUM)</w:t>
            </w:r>
          </w:p>
        </w:tc>
      </w:tr>
      <w:tr>
        <w:tc>
          <w:tcPr>
            <w:tcW w:type="dxa" w:w="3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Coût d’inaction stratégique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000000"/>
                <w:sz w:val="20"/>
                <w:szCs w:val="20"/>
              </w:rPr>
              <w:t xml:space="preserve">10 %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Impact estimé de l’absence d’intervention sur la trajectoire ISA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Niveau</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Signification</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 souveraine</w:t>
            </w:r>
          </w:p>
        </w:tc>
      </w:tr>
      <w:tr>
        <w:tc>
          <w:tcPr>
            <w:tcW w:type="dxa" w:w="12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rFonts w:ascii="Arial" w:cs="Arial" w:eastAsia="Arial" w:hAnsi="Arial"/>
                <w:b/>
                <w:bCs/>
                <w:color w:val="FFFFFF"/>
                <w:sz w:val="20"/>
                <w:szCs w:val="20"/>
              </w:rPr>
              <w:t xml:space="preserve">GREEN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Souveraineté consolidée et résiliente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Score ISA élevé, trajectoire stable ou croissante, vulnérabilités maîtrisées. Aucun pays africain n’atteint ce niveau en 2024 — horizon 2030–2035.</w:t>
            </w:r>
          </w:p>
        </w:tc>
      </w:tr>
      <w:tr>
        <w:tc>
          <w:tcPr>
            <w:tcW w:type="dxa" w:w="1200"/>
            <w:tcBorders>
              <w:top w:val="single" w:color="CCCCCC" w:sz="1"/>
              <w:left w:val="single" w:color="CCCCCC" w:sz="1"/>
              <w:bottom w:val="single" w:color="CCCCCC" w:sz="1"/>
              <w:right w:val="single" w:color="CCCCCC" w:sz="1"/>
            </w:tcBorders>
            <w:shd w:fill="F0C040" w:val="clear"/>
            <w:tcMar>
              <w:top w:type="dxa" w:w="80"/>
              <w:left w:type="dxa" w:w="80"/>
              <w:bottom w:type="dxa" w:w="80"/>
              <w:right w:type="dxa" w:w="80"/>
            </w:tcMar>
          </w:tcPr>
          <w:p>
            <w:pPr>
              <w:jc w:val="center"/>
            </w:pPr>
            <w:r>
              <w:rPr>
                <w:rFonts w:ascii="Arial" w:cs="Arial" w:eastAsia="Arial" w:hAnsi="Arial"/>
                <w:b/>
                <w:bCs/>
                <w:color w:val="000000"/>
                <w:sz w:val="20"/>
                <w:szCs w:val="20"/>
              </w:rPr>
              <w:t xml:space="preserve">YELLOW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Souveraineté en construction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Score moyen, trajectoire variable par pilier, vulnérabilités identifiées mais maîtrisées. 52 pays africains en 2024 (96 %). Point de départ d’une trajectoire à construire.</w:t>
            </w:r>
          </w:p>
        </w:tc>
      </w:tr>
      <w:tr>
        <w:tc>
          <w:tcPr>
            <w:tcW w:type="dxa" w:w="1200"/>
            <w:tcBorders>
              <w:top w:val="single" w:color="CCCCCC" w:sz="1"/>
              <w:left w:val="single" w:color="CCCCCC" w:sz="1"/>
              <w:bottom w:val="single" w:color="CCCCCC" w:sz="1"/>
              <w:right w:val="single" w:color="CCCCCC" w:sz="1"/>
            </w:tcBorders>
            <w:shd w:fill="E26B0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Souveraineté sous pression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Score bas ou dégradation rapide, vulnérabilités critiques sur plusieurs piliers simultanément, stress élevé. 2 pays africains en 2024. Attention institutionnelle prioritaire requise.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Souveraineté en crise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Effondrement partiel ou total d’un ou plusieurs piliers critiques, trajectoire fortement négative, stress humanitaire sévère. Mobilisation d’urgence requise. 0 pays africains en 2024.</w:t>
            </w:r>
          </w:p>
        </w:tc>
      </w:tr>
    </w:tbl>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6. Apports doctrinaux originaux de l’OSA</w:t>
      </w:r>
    </w:p>
    <w:p>
      <w:pPr>
        <w:pStyle w:val="Heading2"/>
        <w:spacing w:after="140" w:before="280"/>
      </w:pPr>
      <w:r>
        <w:rPr>
          <w:rFonts w:ascii="Arial" w:cs="Arial" w:eastAsia="Arial" w:hAnsi="Arial"/>
          <w:b/>
          <w:bCs/>
          <w:color w:val="2E5597"/>
          <w:sz w:val="28"/>
          <w:szCs w:val="28"/>
        </w:rPr>
        <w:t xml:space="preserve">6.1 L’absence comme signal souverain différencié — Axiome 2</w:t>
      </w:r>
    </w:p>
    <w:p>
      <w:pPr>
        <w:spacing w:after="80" w:before="80"/>
        <w:jc w:val="both"/>
      </w:pPr>
      <w:r>
        <w:rPr>
          <w:rFonts w:ascii="Arial" w:cs="Arial" w:eastAsia="Arial" w:hAnsi="Arial"/>
          <w:b w:val="false"/>
          <w:bCs w:val="false"/>
          <w:i w:val="false"/>
          <w:iCs w:val="false"/>
          <w:color w:val="000000"/>
          <w:sz w:val="22"/>
          <w:szCs w:val="22"/>
        </w:rPr>
        <w:t xml:space="preserve">Le modèle d’origine traitait les données manquantes comme un problème technique à résoudre par imputation. La doctrine ISA v1 va bien au-delà : l’absence de données sur un indicateur souverain observable n’est pas neutre. Elle est un fait souverain en soi, porteur d’information stratégique.</w:t>
      </w:r>
    </w:p>
    <w:p>
      <w:pPr>
        <w:spacing w:after="100" w:before="100"/>
      </w:pPr>
      <w:r>
        <w:t xml:space="preserve"/>
      </w:r>
    </w:p>
    <w:p>
      <w:pPr>
        <w:pStyle w:val="Heading3"/>
        <w:spacing w:after="100" w:before="200"/>
      </w:pPr>
      <w:r>
        <w:rPr>
          <w:rFonts w:ascii="Arial" w:cs="Arial" w:eastAsia="Arial" w:hAnsi="Arial"/>
          <w:b/>
          <w:bCs/>
          <w:i/>
          <w:iCs/>
          <w:color w:val="1B3A6B"/>
          <w:sz w:val="24"/>
          <w:szCs w:val="24"/>
        </w:rPr>
        <w:t xml:space="preserve">Démonstration par trois cas empiriques</w:t>
      </w:r>
    </w:p>
    <w:p>
      <w:pPr>
        <w:spacing w:after="80" w:before="80"/>
        <w:jc w:val="both"/>
      </w:pPr>
      <w:r>
        <w:rPr>
          <w:rFonts w:ascii="Arial" w:cs="Arial" w:eastAsia="Arial" w:hAnsi="Arial"/>
          <w:b/>
          <w:bCs/>
          <w:i w:val="false"/>
          <w:iCs w:val="false"/>
          <w:color w:val="000000"/>
          <w:sz w:val="22"/>
          <w:szCs w:val="22"/>
        </w:rPr>
        <w:t xml:space="preserve">Cas 1 — L’opacité extractive délibérée : </w:t>
      </w:r>
      <w:r>
        <w:rPr>
          <w:rFonts w:ascii="Arial" w:cs="Arial" w:eastAsia="Arial" w:hAnsi="Arial"/>
          <w:b w:val="false"/>
          <w:bCs w:val="false"/>
          <w:i w:val="false"/>
          <w:iCs w:val="false"/>
          <w:color w:val="000000"/>
          <w:sz w:val="22"/>
          <w:szCs w:val="22"/>
        </w:rPr>
        <w:t xml:space="preserve">un État membre de l’EITI qui ne soumet pas son rapport annuel ne souffre pas d’une lacune statistique — il exerce une opacité souveraine documentée. Imputer cette absence par la moyenne régionale reviendrait à lui attribuer un score de gouvernance extractive fictif, masquant une défaillance institutionnelle réelle.</w:t>
      </w:r>
    </w:p>
    <w:p>
      <w:pPr>
        <w:spacing w:after="80" w:before="80"/>
        <w:jc w:val="both"/>
      </w:pPr>
      <w:r>
        <w:rPr>
          <w:rFonts w:ascii="Arial" w:cs="Arial" w:eastAsia="Arial" w:hAnsi="Arial"/>
          <w:b/>
          <w:bCs/>
          <w:i w:val="false"/>
          <w:iCs w:val="false"/>
          <w:color w:val="000000"/>
          <w:sz w:val="22"/>
          <w:szCs w:val="22"/>
        </w:rPr>
        <w:t xml:space="preserve">Cas 2 — La défaillance statistique institutionnelle : </w:t>
      </w:r>
      <w:r>
        <w:rPr>
          <w:rFonts w:ascii="Arial" w:cs="Arial" w:eastAsia="Arial" w:hAnsi="Arial"/>
          <w:b w:val="false"/>
          <w:bCs w:val="false"/>
          <w:i w:val="false"/>
          <w:iCs w:val="false"/>
          <w:color w:val="000000"/>
          <w:sz w:val="22"/>
          <w:szCs w:val="22"/>
        </w:rPr>
        <w:t xml:space="preserve">un État qui ne produit pas de statistiques nationales fiables souffre d’une faiblesse de capacité institutionnelle directement liée à sa souveraineté numérique et administrative. L’absence de données est le symptôme d’institutions de mesure défaillantes — c’est une information souveraine critique.</w:t>
      </w:r>
    </w:p>
    <w:p>
      <w:pPr>
        <w:spacing w:after="80" w:before="80"/>
        <w:jc w:val="both"/>
      </w:pPr>
      <w:r>
        <w:rPr>
          <w:rFonts w:ascii="Arial" w:cs="Arial" w:eastAsia="Arial" w:hAnsi="Arial"/>
          <w:b/>
          <w:bCs/>
          <w:i w:val="false"/>
          <w:iCs w:val="false"/>
          <w:color w:val="000000"/>
          <w:sz w:val="22"/>
          <w:szCs w:val="22"/>
        </w:rPr>
        <w:t xml:space="preserve">Cas 3 — La contrainte physique légitime : </w:t>
      </w:r>
      <w:r>
        <w:rPr>
          <w:rFonts w:ascii="Arial" w:cs="Arial" w:eastAsia="Arial" w:hAnsi="Arial"/>
          <w:b w:val="false"/>
          <w:bCs w:val="false"/>
          <w:i w:val="false"/>
          <w:iCs w:val="false"/>
          <w:color w:val="000000"/>
          <w:sz w:val="22"/>
          <w:szCs w:val="22"/>
        </w:rPr>
        <w:t xml:space="preserve">un État sans secteur minier n’a pas de données sur la gouvernance minière. Cette absence n’est pas une faiblesse souveraine. Raffinement de l’Axiome 2 (Sprint 10) : l’absence est un signal souverain uniquement si le phénomène est observable en principe pour ce pays.</w:t>
      </w:r>
    </w:p>
    <w:p>
      <w:pPr>
        <w:spacing w:after="100" w:before="100"/>
      </w:pPr>
      <w:r>
        <w:t xml:space="preserve"/>
      </w:r>
    </w:p>
    <w:p>
      <w:pPr>
        <w:pStyle w:val="Heading3"/>
        <w:spacing w:after="100" w:before="200"/>
      </w:pPr>
      <w:r>
        <w:rPr>
          <w:rFonts w:ascii="Arial" w:cs="Arial" w:eastAsia="Arial" w:hAnsi="Arial"/>
          <w:b/>
          <w:bCs/>
          <w:i/>
          <w:iCs/>
          <w:color w:val="1B3A6B"/>
          <w:sz w:val="24"/>
          <w:szCs w:val="24"/>
        </w:rPr>
        <w:t xml:space="preserve">Taxonomie des absences — cinq catégories doctrinales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Catégorie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Code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Signification souveraine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Traitement computationnel</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Observable non déclarée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OPACITY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Opacité souveraine active — signal négatif fort</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Score = 0 + ISA_STRUCTURAL_GAP</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Capacité institutionnelle absente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INSTITUTIONAL_GAP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Défaillance de l’appareil statistique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Score dégradé + ISA_CRITICAL_MISSING</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Source temporairement indisponible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SOURCE_UNAVAILABLE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Lacune de collecte — non imputable au pays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Imputation MICE + confidence_score bas</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Phénomène non applicable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NOT_APPLICABLE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Contrainte physique structurelle légitime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Exclusion du périmètre — pas de pénalité</w:t>
            </w:r>
          </w:p>
        </w:tc>
      </w:tr>
      <w:tr>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Conflit armé actif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CONFLICT_FRAGILITY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Absence due à l’insécurité — signal ACLED indépendant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Imputation conditionnelle + flag ACLED</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6.2 Hiérarchie des sources N1/N2/N3 — Fondement doctrinal</w:t>
      </w:r>
    </w:p>
    <w:p>
      <w:pPr>
        <w:spacing w:after="80" w:before="80"/>
        <w:jc w:val="both"/>
      </w:pPr>
      <w:r>
        <w:rPr>
          <w:rFonts w:ascii="Arial" w:cs="Arial" w:eastAsia="Arial" w:hAnsi="Arial"/>
          <w:b w:val="false"/>
          <w:bCs w:val="false"/>
          <w:i w:val="false"/>
          <w:iCs w:val="false"/>
          <w:color w:val="000000"/>
          <w:sz w:val="22"/>
          <w:szCs w:val="22"/>
        </w:rPr>
        <w:t xml:space="preserve">Le modèle d’origine ne mentionnait pas les sources de données. La doctrine ISA v1 a développé une hiérarchie explicite fondée sur un principe : toutes les sources ne sont pas doctrinalement équivalentes, même si elles fournissent des valeurs numériques pour le même indicateur.</w:t>
      </w:r>
    </w:p>
    <w:p>
      <w:pPr>
        <w:spacing w:after="100" w:before="100"/>
      </w:pPr>
      <w:r>
        <w:t xml:space="preserve"/>
      </w:r>
    </w:p>
    <w:p>
      <w:pPr>
        <w:pStyle w:val="Heading3"/>
        <w:spacing w:after="100" w:before="200"/>
      </w:pPr>
      <w:r>
        <w:rPr>
          <w:rFonts w:ascii="Arial" w:cs="Arial" w:eastAsia="Arial" w:hAnsi="Arial"/>
          <w:b/>
          <w:bCs/>
          <w:i/>
          <w:iCs/>
          <w:color w:val="1B3A6B"/>
          <w:sz w:val="24"/>
          <w:szCs w:val="24"/>
        </w:rPr>
        <w:t xml:space="preserve">Démonstration par trois cas réels</w:t>
      </w:r>
    </w:p>
    <w:p>
      <w:pPr>
        <w:spacing w:after="80" w:before="80"/>
        <w:jc w:val="both"/>
      </w:pPr>
      <w:r>
        <w:rPr>
          <w:rFonts w:ascii="Arial" w:cs="Arial" w:eastAsia="Arial" w:hAnsi="Arial"/>
          <w:b/>
          <w:bCs/>
          <w:i w:val="false"/>
          <w:iCs w:val="false"/>
          <w:color w:val="000000"/>
          <w:sz w:val="22"/>
          <w:szCs w:val="22"/>
        </w:rPr>
        <w:t xml:space="preserve">Cas 1 — WGI Political Stability vs ACLED : </w:t>
      </w:r>
      <w:r>
        <w:rPr>
          <w:rFonts w:ascii="Arial" w:cs="Arial" w:eastAsia="Arial" w:hAnsi="Arial"/>
          <w:b w:val="false"/>
          <w:bCs w:val="false"/>
          <w:i w:val="false"/>
          <w:iCs w:val="false"/>
          <w:color w:val="000000"/>
          <w:sz w:val="22"/>
          <w:szCs w:val="22"/>
        </w:rPr>
        <w:t xml:space="preserve">le WGI mesure ce que des experts — majoritairement OCDE — pensent de la stabilité politique d’un État africain. ACLED mesure le nombre d’événements conflictuels géolocalisés et horodatés sur le territoire. Les deux produisent un indicateur de « stabilité politique » — mais l’un mesure une perception externe, l’autre un fait comportemental observable. La doctrine exclut WGI et retient ACLED.</w:t>
      </w:r>
    </w:p>
    <w:p>
      <w:pPr>
        <w:spacing w:after="80" w:before="80"/>
        <w:jc w:val="both"/>
      </w:pPr>
      <w:r>
        <w:rPr>
          <w:rFonts w:ascii="Arial" w:cs="Arial" w:eastAsia="Arial" w:hAnsi="Arial"/>
          <w:b/>
          <w:bCs/>
          <w:i w:val="false"/>
          <w:iCs w:val="false"/>
          <w:color w:val="000000"/>
          <w:sz w:val="22"/>
          <w:szCs w:val="22"/>
        </w:rPr>
        <w:t xml:space="preserve">Cas 2 — Wikipedia vs EITI : </w:t>
      </w:r>
      <w:r>
        <w:rPr>
          <w:rFonts w:ascii="Arial" w:cs="Arial" w:eastAsia="Arial" w:hAnsi="Arial"/>
          <w:b w:val="false"/>
          <w:bCs w:val="false"/>
          <w:i w:val="false"/>
          <w:iCs w:val="false"/>
          <w:color w:val="000000"/>
          <w:sz w:val="22"/>
          <w:szCs w:val="22"/>
        </w:rPr>
        <w:t xml:space="preserve">le nombre de sites miniers peut être estimé par un comptage d’articles Wikipedia géolocalisés (non vérifiable, statique, sans audit) ou par les déclarations d’entreprises soumises au processus EITI (audité par tiers indépendant, dynamique, vérifiable sur eiti.org). La doctrine OSA exclut Wikipedia et retient EITI.</w:t>
      </w:r>
    </w:p>
    <w:p>
      <w:pPr>
        <w:spacing w:after="80" w:before="80"/>
        <w:jc w:val="both"/>
      </w:pPr>
      <w:r>
        <w:rPr>
          <w:rFonts w:ascii="Arial" w:cs="Arial" w:eastAsia="Arial" w:hAnsi="Arial"/>
          <w:b/>
          <w:bCs/>
          <w:i w:val="false"/>
          <w:iCs w:val="false"/>
          <w:color w:val="000000"/>
          <w:sz w:val="22"/>
          <w:szCs w:val="22"/>
        </w:rPr>
        <w:t xml:space="preserve">Cas 3 — WEF vs données administratives : </w:t>
      </w:r>
      <w:r>
        <w:rPr>
          <w:rFonts w:ascii="Arial" w:cs="Arial" w:eastAsia="Arial" w:hAnsi="Arial"/>
          <w:b w:val="false"/>
          <w:bCs w:val="false"/>
          <w:i w:val="false"/>
          <w:iCs w:val="false"/>
          <w:color w:val="000000"/>
          <w:sz w:val="22"/>
          <w:szCs w:val="22"/>
        </w:rPr>
        <w:t xml:space="preserve">le WEF produit des indices de compétitivité basés sur des enquêtes d’opinion auprès de dirigeants d’entreprises. Les données administratives nationales (recettes fiscales, dépenses publiques) sont vérifiables par les institutions de contrôle. Leurs biais sont fondamentalement différents et ne peuvent pas alimenter le même indicateur sans qualification doctrinale explicite.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60"/>
        <w:gridCol w:w="36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Niv.</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Définition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Exemples</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Vérifiabilité</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N1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Sources auditées par tiers indépendant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EITI (recettes extractives), statistiques nationales certifiées FMI</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Maximale — rapport d’audit public disponible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N2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Sources institutionnelles officielles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World Bank WDI, IMF WEO, FAO, UNDP, UNESCO, SIPRI, ITU</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Élevée — méthodologie publique, reproductible</w:t>
            </w:r>
          </w:p>
        </w:tc>
      </w:tr>
      <w:tr>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vAlign w:val="top"/>
          </w:tcPr>
          <w:p>
            <w:pPr>
              <w:jc w:val="left"/>
            </w:pPr>
            <w:r>
              <w:rPr>
                <w:rFonts w:ascii="Arial" w:cs="Arial" w:eastAsia="Arial" w:hAnsi="Arial"/>
                <w:b/>
                <w:bCs/>
                <w:i w:val="false"/>
                <w:iCs w:val="false"/>
                <w:color w:val="1B3A6B"/>
                <w:sz w:val="20"/>
                <w:szCs w:val="20"/>
              </w:rPr>
              <w:t xml:space="preserve">N3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Sources d’observation directe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ACLED (événements conflictuels), UCDP (décès documentés), données satellites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Élevée sur les faits — interprétation variable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 de source exclu</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Raison d’exclusion</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Exemple</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Indices de perception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Biais du regard externe — mesure ce que les observateurs pensent, pas ce que les États font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WGI, Fragile States Index, Doing Business</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Sources non vérifiables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Impossibilité d’audit indépendant — origine non traçable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Wikipedia, scraping web non souré</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Sources à variance nulle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Données statiques déguisées en séries temporelles — aucune information souveraine dynamique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PGEO_MINE_COUNT (valeurs identiques 2010–2024)</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Sources à biais de sélection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Ne couvrent que les pays à gouvernance formalisée — excluent structurellement les États fragiles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Enquêtes WEF, indices de compétitivité</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 hiérarchie N1/N2/N3 a trois effets computationnels directs dans le pipeline OSA :</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Score de confiance différencié : une valeur N1 reçoit un score de confiance supérieur à une valeur N2 à données équivalentes. Ce score entre dans le calcul du poids sémantique de l’indicateur.</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Politique de remplacement : si deux sources fournissent des valeurs différentes pour le même indicateur, pays et année, la source de niveau supérieur prévaut (appliqué en Sprint 11 : données WB source N2 remplacées par données EITI source N1 sur MIN_GOV, MIN_CERT, MIN_TECH).</w:t>
      </w:r>
    </w:p>
    <w:p>
      <w:pPr>
        <w:spacing w:after="60" w:before="60"/>
        <w:ind w:left="400"/>
      </w:pPr>
      <w:r>
        <w:rPr>
          <w:rFonts w:ascii="Arial" w:cs="Arial" w:eastAsia="Arial" w:hAnsi="Arial"/>
          <w:color w:val="1B3A6B"/>
          <w:sz w:val="22"/>
          <w:szCs w:val="22"/>
        </w:rPr>
        <w:t xml:space="preserve">•  </w:t>
      </w:r>
      <w:r>
        <w:rPr>
          <w:rFonts w:ascii="Arial" w:cs="Arial" w:eastAsia="Arial" w:hAnsi="Arial"/>
          <w:color w:val="000000"/>
          <w:sz w:val="22"/>
          <w:szCs w:val="22"/>
        </w:rPr>
        <w:t xml:space="preserve">Traçabilité obligatoire : chaque valeur L1 est associée à un source_id traçable. Une valeur sans source traçable est rejetée par contrainte d’intégrité base de données — matérialisation computationnelle de la doctrine N1/N2/N3.</w:t>
      </w:r>
    </w:p>
    <w:p>
      <w:pPr>
        <w:spacing w:after="100" w:before="100"/>
      </w:pPr>
      <w:r>
        <w:t xml:space="preserve"/>
      </w:r>
    </w:p>
    <w:p>
      <w:pPr>
        <w:pStyle w:val="Heading1"/>
        <w:pBdr>
          <w:bottom w:val="single" w:color="1B3A6B" w:sz="8" w:space="4"/>
        </w:pBdr>
        <w:spacing w:after="200" w:before="400"/>
      </w:pPr>
      <w:r>
        <w:rPr>
          <w:rFonts w:ascii="Arial" w:cs="Arial" w:eastAsia="Arial" w:hAnsi="Arial"/>
          <w:b/>
          <w:bCs/>
          <w:color w:val="1B3A6B"/>
          <w:sz w:val="36"/>
          <w:szCs w:val="36"/>
        </w:rPr>
        <w:t xml:space="preserve">7. Formule générale et état de conformité</w:t>
      </w:r>
    </w:p>
    <w:p>
      <w:pPr>
        <w:pStyle w:val="Heading2"/>
        <w:spacing w:after="140" w:before="280"/>
      </w:pPr>
      <w:r>
        <w:rPr>
          <w:rFonts w:ascii="Arial" w:cs="Arial" w:eastAsia="Arial" w:hAnsi="Arial"/>
          <w:b/>
          <w:bCs/>
          <w:color w:val="2E5597"/>
          <w:sz w:val="28"/>
          <w:szCs w:val="28"/>
        </w:rPr>
        <w:t xml:space="preserve">7.1 Formule générale de l’ISA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3A6B" w:sz="6"/>
              <w:bottom w:val="single" w:color="CCCCCC" w:sz="1"/>
              <w:right w:val="none" w:color="FFFFFF" w:sz="0"/>
            </w:tcBorders>
            <w:shd w:fill="F5F7FA" w:val="clear"/>
            <w:tcMar>
              <w:top w:type="dxa" w:w="120"/>
              <w:left w:type="dxa" w:w="200"/>
              <w:bottom w:type="dxa" w:w="120"/>
              <w:right w:type="dxa" w:w="200"/>
            </w:tcMar>
          </w:tcPr>
          <w:p>
            <w:pPr>
              <w:jc w:val="left"/>
            </w:pPr>
            <w:r>
              <w:rPr>
                <w:rFonts w:ascii="Courier New" w:cs="Courier New" w:eastAsia="Courier New" w:hAnsi="Courier New"/>
                <w:color w:val="1B3A6B"/>
                <w:sz w:val="20"/>
                <w:szCs w:val="20"/>
              </w:rPr>
              <w:t xml:space="preserve">ISA(c, t) = Σp [ Wp × Sp(c, t) ]
où :
  Sp(c, t) = Σi [ W_sem(i) × I_norm(i, c, t) × A(i, c, t) ]
  I_norm(i, c, t) = [X(i,c,t) − Xmin_ref(i)] / [Xmax_ref(i) − Xmin_ref(i)]  [direction +]
                  = [Xmax_ref(i) − X(i,c,t)] / [Xmax_ref(i) − Xmin_ref(i)]  [direction −]
Notations :
  c          = pays (country_iso3)
  t          = année
  p          = pilier (10 piliers, Wp = 0,10 ∀p, provisoire)
  i          = indicateur
  W_sem(i)   = poids sémantique de l’indicateur (gouvernance N4)
  A(i, c, t) = applicabilité conditionnelle [0 ou 1]
               0 si NOT_APPLICABLE (contrainte structurelle)
               1 si APPLICABLE
  Xmin_ref   = borne minimale figée (rf.normalization_bounds v1_2026)
  Xmax_ref   = borne maximale figée (rf.normalization_bounds v1_2026)</w:t>
            </w:r>
          </w:p>
        </w:tc>
      </w:tr>
    </w:tbl>
    <w:p>
      <w:pPr>
        <w:spacing w:after="100" w:before="100"/>
      </w:pPr>
      <w:r>
        <w:t xml:space="preserve"/>
      </w:r>
    </w:p>
    <w:p>
      <w:pPr>
        <w:pStyle w:val="Heading2"/>
        <w:spacing w:after="140" w:before="280"/>
      </w:pPr>
      <w:r>
        <w:rPr>
          <w:rFonts w:ascii="Arial" w:cs="Arial" w:eastAsia="Arial" w:hAnsi="Arial"/>
          <w:b/>
          <w:bCs/>
          <w:color w:val="2E5597"/>
          <w:sz w:val="28"/>
          <w:szCs w:val="28"/>
        </w:rPr>
        <w:t xml:space="preserve">7.2 État de conformité — Sprint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1800"/>
        <w:gridCol w:w="2400"/>
      </w:tblGrid>
      <w:tr>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Critère scientifique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Modèle v1</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Modèle v2</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Architecture hiérarchique documentée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3 niveaux</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9 niveaux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Normalisation Min-Max sur bornes figées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Bornes naïves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Bornes figées v1_2026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Z-score — décision documentée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Proposé</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Abandonné + justifié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Pondération entropique — positionnement</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Méthode principale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Outil diagnostic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ACP — décision documentée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Proposée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Abandonnée + justifiée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Winsorisation conditionnelle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Systématique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Conditionnelle + log(1+x)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Monte Carlo — feuille de route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Prescrit</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i w:val="false"/>
                <w:iCs w:val="false"/>
                <w:color w:val="7F6000"/>
                <w:sz w:val="20"/>
                <w:szCs w:val="20"/>
              </w:rPr>
              <w:t xml:space="preserve">Sprint 12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Pondération égale + applicabilité conditionnelle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Incomplète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Provisoire + A(i,c,t)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Classification AMAR dynamique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5 niveaux statiques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4 niveaux AMAR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Absence comme signal souverain (Axiome 2)</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Absente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5 catégories + raffinement ✅</w:t>
            </w:r>
          </w:p>
        </w:tc>
      </w:tr>
      <w:tr>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Hiérarchie sources N1/N2/N3</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Absente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3 niveaux + 4 exclusions ✅</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20"/>
              <w:bottom w:type="dxa" w:w="200"/>
              <w:right w:type="dxa" w:w="320"/>
            </w:tcMar>
          </w:tcPr>
          <w:p>
            <w:pPr>
              <w:jc w:val="center"/>
            </w:pPr>
            <w:r>
              <w:rPr>
                <w:rFonts w:ascii="Arial" w:cs="Arial" w:eastAsia="Arial" w:hAnsi="Arial"/>
                <w:b/>
                <w:bCs/>
                <w:color w:val="FFFFFF"/>
                <w:sz w:val="28"/>
                <w:szCs w:val="28"/>
              </w:rPr>
              <w:t xml:space="preserve">Modèle scientifique ISA v2.0 — Validé — Mai 2026</w:t>
            </w:r>
          </w:p>
          <w:p>
            <w:pPr>
              <w:jc w:val="center"/>
            </w:pPr>
            <w:r>
              <w:rPr>
                <w:rFonts w:ascii="Arial" w:cs="Arial" w:eastAsia="Arial" w:hAnsi="Arial"/>
                <w:i/>
                <w:iCs/>
                <w:color w:val="BDD7EE"/>
                <w:sz w:val="22"/>
                <w:szCs w:val="22"/>
              </w:rPr>
              <w:t xml:space="preserve">10 points validés · 11 sprints intégrés · Doctrine ISA v1 100 % appliquée · Prêt pour le Conseil scientifique panafricain</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Observatoire de la Souveraineté Africaine — Modèle scientifique ISA v2.0 — Mai 2026 — Confidentiel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Modèle scientifique ISA v2.0 —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59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2026-05-24T09:47:06.227Z</dcterms:created>
  <dcterms:modified xsi:type="dcterms:W3CDTF">2026-05-24T09:47:06.240Z</dcterms:modified>
</cp:coreProperties>
</file>

<file path=docProps/custom.xml><?xml version="1.0" encoding="utf-8"?>
<Properties xmlns="http://schemas.openxmlformats.org/officeDocument/2006/custom-properties" xmlns:vt="http://schemas.openxmlformats.org/officeDocument/2006/docPropsVTypes"/>
</file>