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jc w:val="center"/>
      </w:pPr>
      <w:r>
        <w:rPr>
          <w:b/>
          <w:bCs/>
          <w:color w:val="1A6B2A"/>
          <w:sz w:val="36"/>
          <w:szCs w:val="36"/>
        </w:rPr>
        <w:t xml:space="preserve">OSA OBSERVATORY</w:t>
      </w:r>
    </w:p>
    <w:p>
      <w:pPr>
        <w:spacing w:after="300" w:before="60"/>
        <w:jc w:val="center"/>
      </w:pPr>
      <w:r>
        <w:rPr>
          <w:i/>
          <w:iCs/>
          <w:color w:val="C8973A"/>
          <w:sz w:val="20"/>
          <w:szCs w:val="20"/>
        </w:rPr>
        <w:t xml:space="preserve">Observatoire de la Souveraineté Africaine</w:t>
      </w:r>
    </w:p>
    <w:p>
      <w:pPr>
        <w:jc w:val="center"/>
      </w:pPr>
      <w:r>
        <w:rPr>
          <w:b/>
          <w:bCs/>
          <w:color w:val="222222"/>
          <w:sz w:val="27"/>
          <w:szCs w:val="27"/>
        </w:rPr>
        <w:t xml:space="preserve">ADR-003 — Généralisation du moteur de gouvernance événementielle</w:t>
      </w:r>
    </w:p>
    <w:p>
      <w:pPr>
        <w:spacing w:after="100" w:before="100"/>
        <w:jc w:val="center"/>
      </w:pPr>
      <w:r>
        <w:rPr>
          <w:color w:val="666666"/>
          <w:sz w:val="20"/>
          <w:szCs w:val="20"/>
        </w:rPr>
        <w:t xml:space="preserve">Migration d'identity_events vers un moteur générique multi-domaines</w:t>
      </w:r>
    </w:p>
    <w:p>
      <w:pPr>
        <w:spacing w:before="200"/>
        <w:jc w:val="center"/>
      </w:pPr>
      <w:r>
        <w:rPr>
          <w:b/>
          <w:bCs/>
          <w:color w:val="222222"/>
          <w:sz w:val="20"/>
          <w:szCs w:val="20"/>
        </w:rPr>
        <w:t xml:space="preserve">14 juillet 2026</w:t>
      </w:r>
    </w:p>
    <w:p>
      <w:pPr>
        <w:pStyle w:val="Heading1"/>
        <w:pBdr>
          <w:bottom w:val="single" w:color="1A6B2A" w:sz="6" w:space="4"/>
        </w:pBdr>
        <w:spacing w:after="200" w:before="400"/>
      </w:pPr>
      <w:r>
        <w:rPr>
          <w:b/>
          <w:bCs/>
          <w:color w:val="1A6B2A"/>
          <w:sz w:val="28"/>
          <w:szCs w:val="28"/>
        </w:rPr>
        <w:t xml:space="preserve">Préambule</w:t>
      </w:r>
    </w:p>
    <w:p>
      <w:pPr>
        <w:spacing w:after="120"/>
      </w:pPr>
      <w:r>
        <w:rPr>
          <w:color w:val="222222"/>
          <w:sz w:val="21"/>
          <w:szCs w:val="21"/>
        </w:rPr>
        <w:t xml:space="preserve">Le document de proposition d'architecture retenu avant l'ADR-001 posait déjà le principe : « nous décidons de ne pas développer un simple Identity Synchronizer », l'identité n'étant que le premier cas d'utilisation d'un moteur générique de gouvernance et de synchronisation des événements métier. Faute de retour d'expérience à l'époque, l'ADR-001 puis l'ADR-002 ont livré et validé un mécanisme spécifique à l'identité (mg.identity_events, rf.identity_event_types, identity_synchronizer.py), avec la décision explicite de le préserver tel quel et de ne généraliser que pour les futurs domaines.</w:t>
      </w:r>
    </w:p>
    <w:p>
      <w:pPr>
        <w:spacing w:after="120"/>
      </w:pPr>
      <w:r>
        <w:rPr>
          <w:color w:val="222222"/>
          <w:sz w:val="21"/>
          <w:szCs w:val="21"/>
        </w:rPr>
        <w:t xml:space="preserve">Cette décision est révisée. Le cycle complet a désormais été validé de bout en bout (ADR-002 §6), et huit défauts ont été découverts et corrigés dans ce processus — l'expérience acquise permet de généraliser directement, identité comprise, plutôt que de maintenir deux mécanismes de synchronisation en parallèle indéfiniment.</w:t>
      </w:r>
    </w:p>
    <w:p>
      <w:pPr>
        <w:pStyle w:val="Heading1"/>
        <w:pBdr>
          <w:bottom w:val="single" w:color="1A6B2A" w:sz="6" w:space="4"/>
        </w:pBdr>
        <w:spacing w:after="200" w:before="400"/>
      </w:pPr>
      <w:r>
        <w:rPr>
          <w:b/>
          <w:bCs/>
          <w:color w:val="1A6B2A"/>
          <w:sz w:val="28"/>
          <w:szCs w:val="28"/>
        </w:rPr>
        <w:t xml:space="preserve">Décision</w:t>
      </w:r>
    </w:p>
    <w:p>
      <w:pPr>
        <w:spacing w:after="120"/>
      </w:pPr>
      <w:r>
        <w:rPr>
          <w:color w:val="222222"/>
          <w:sz w:val="21"/>
          <w:szCs w:val="21"/>
        </w:rPr>
        <w:t xml:space="preserve">Le mécanisme de synchronisation d'identité migre vers le moteur générique de gouvernance événementielle. Il n'existera plus, à terme, qu'un seul pipeline de synchronisation pour l'ensemble des domaines de l'Observatoire — identité, et ultérieurement ISA, POA, AMAR, GENECO et tout autre objet métier nécessitant une propagation entre environnements.</w:t>
      </w:r>
    </w:p>
    <w:p>
      <w:pPr>
        <w:spacing w:after="120"/>
      </w:pPr>
      <w:r>
        <w:rPr>
          <w:color w:val="222222"/>
          <w:sz w:val="21"/>
          <w:szCs w:val="21"/>
        </w:rPr>
        <w:t xml:space="preserve">Cette décision ne remet pas en cause les principes doctrinaux actés dans l'ADR-001 : ils deviennent au contraire les principes fondateurs du moteur générique, appliqués à tous les domaines et non plus seulement à l'identité.</w:t>
      </w:r>
    </w:p>
    <w:p>
      <w:pPr>
        <w:pStyle w:val="Heading1"/>
        <w:pBdr>
          <w:bottom w:val="single" w:color="1A6B2A" w:sz="6" w:space="4"/>
        </w:pBdr>
        <w:spacing w:after="200" w:before="400"/>
      </w:pPr>
      <w:r>
        <w:rPr>
          <w:b/>
          <w:bCs/>
          <w:color w:val="1A6B2A"/>
          <w:sz w:val="28"/>
          <w:szCs w:val="28"/>
        </w:rPr>
        <w:t xml:space="preserve">Ce qui ne change pas</w:t>
      </w:r>
    </w:p>
    <w:p>
      <w:pPr>
        <w:pStyle w:val="ListParagraph"/>
        <w:numPr>
          <w:ilvl w:val="0"/>
          <w:numId w:val="1"/>
        </w:numPr>
        <w:spacing w:after="60"/>
      </w:pPr>
      <w:r>
        <w:rPr>
          <w:color w:val="222222"/>
          <w:sz w:val="21"/>
          <w:szCs w:val="21"/>
        </w:rPr>
        <w:t xml:space="preserve">L'OSA ne synchronise jamais des tables — uniquement des événements métier déjà validés.</w:t>
      </w:r>
    </w:p>
    <w:p>
      <w:pPr>
        <w:pStyle w:val="ListParagraph"/>
        <w:numPr>
          <w:ilvl w:val="0"/>
          <w:numId w:val="1"/>
        </w:numPr>
        <w:spacing w:after="60"/>
      </w:pPr>
      <w:r>
        <w:rPr>
          <w:color w:val="222222"/>
          <w:sz w:val="21"/>
          <w:szCs w:val="21"/>
        </w:rPr>
        <w:t xml:space="preserve">Rôles des environnements inchangés : DEV totalement indépendant et exclu de toute synchronisation, PREPROD référence organisationnelle, PROD réception automatique des décisions validées.</w:t>
      </w:r>
    </w:p>
    <w:p>
      <w:pPr>
        <w:pStyle w:val="ListParagraph"/>
        <w:numPr>
          <w:ilvl w:val="0"/>
          <w:numId w:val="1"/>
        </w:numPr>
        <w:spacing w:after="60"/>
      </w:pPr>
      <w:r>
        <w:rPr>
          <w:color w:val="222222"/>
          <w:sz w:val="21"/>
          <w:szCs w:val="21"/>
        </w:rPr>
        <w:t xml:space="preserve">Déclenchement toujours automatique après validation métier — jamais d'action manuelle régulière.</w:t>
      </w:r>
    </w:p>
    <w:p>
      <w:pPr>
        <w:pStyle w:val="ListParagraph"/>
        <w:numPr>
          <w:ilvl w:val="0"/>
          <w:numId w:val="1"/>
        </w:numPr>
        <w:spacing w:after="60"/>
      </w:pPr>
      <w:r>
        <w:rPr>
          <w:color w:val="222222"/>
          <w:sz w:val="21"/>
          <w:szCs w:val="21"/>
        </w:rPr>
        <w:t xml:space="preserve">Secrets d'authentification jamais propagés (password_hash, sessions, tokens, secrets MFA).</w:t>
      </w:r>
    </w:p>
    <w:p>
      <w:pPr>
        <w:pStyle w:val="ListParagraph"/>
        <w:numPr>
          <w:ilvl w:val="0"/>
          <w:numId w:val="1"/>
        </w:numPr>
        <w:spacing w:after="60"/>
      </w:pPr>
      <w:r>
        <w:rPr>
          <w:color w:val="222222"/>
          <w:sz w:val="21"/>
          <w:szCs w:val="21"/>
        </w:rPr>
        <w:t xml:space="preserve">La clé stable identity_uuid reste la clé de correspondance du domaine identité — elle n'est pas remise en cause, seulement rattachée à un domaine explicite dans le nouveau schéma.</w:t>
      </w:r>
    </w:p>
    <w:p>
      <w:pPr>
        <w:pStyle w:val="ListParagraph"/>
        <w:numPr>
          <w:ilvl w:val="0"/>
          <w:numId w:val="1"/>
        </w:numPr>
        <w:spacing w:after="60"/>
      </w:pPr>
      <w:r>
        <w:rPr>
          <w:color w:val="222222"/>
          <w:sz w:val="21"/>
          <w:szCs w:val="21"/>
        </w:rPr>
        <w:t xml:space="preserve">Le statut PROD_PENDING_ACTIVATION et le mécanisme d'activation via reset-password restent inchangés pour l'identité.</w:t>
      </w:r>
    </w:p>
    <w:p>
      <w:pPr>
        <w:pStyle w:val="Heading1"/>
        <w:pBdr>
          <w:bottom w:val="single" w:color="1A6B2A" w:sz="6" w:space="4"/>
        </w:pBdr>
        <w:spacing w:after="200" w:before="400"/>
      </w:pPr>
      <w:r>
        <w:rPr>
          <w:b/>
          <w:bCs/>
          <w:color w:val="1A6B2A"/>
          <w:sz w:val="28"/>
          <w:szCs w:val="28"/>
        </w:rPr>
        <w:t xml:space="preserve">Ce qui change</w:t>
      </w:r>
    </w:p>
    <w:p>
      <w:pPr>
        <w:pStyle w:val="Heading2"/>
        <w:spacing w:after="120" w:before="260"/>
      </w:pPr>
      <w:r>
        <w:rPr>
          <w:b/>
          <w:bCs/>
          <w:color w:val="222222"/>
          <w:sz w:val="23"/>
          <w:szCs w:val="23"/>
        </w:rPr>
        <w:t xml:space="preserve">Schéma cible</w:t>
      </w:r>
    </w:p>
    <w:p>
      <w:pPr>
        <w:spacing w:after="120"/>
      </w:pPr>
      <w:r>
        <w:rPr>
          <w:color w:val="222222"/>
          <w:sz w:val="21"/>
          <w:szCs w:val="21"/>
        </w:rPr>
        <w:t xml:space="preserve">Le référentiel des types d'événements devient générique, avec un code de domaine explicite plutôt qu'un référentiel par domaine :</w:t>
      </w:r>
    </w:p>
    <w:p>
      <w:pPr>
        <w:shd w:fill="F2F2F2" w:val="clear"/>
        <w:spacing w:after="200" w:before="100"/>
      </w:pPr>
      <w:r>
        <w:rPr>
          <w:rFonts w:ascii="Consolas" w:cs="Consolas" w:eastAsia="Consolas" w:hAnsi="Consolas"/>
          <w:color w:val="222222"/>
          <w:sz w:val="19"/>
          <w:szCs w:val="19"/>
        </w:rPr>
        <w:t xml:space="preserve">rf.event_types (domain_code, code, label_fr, label_en, description, is_active)</w:t>
      </w:r>
    </w:p>
    <w:p>
      <w:pPr>
        <w:spacing w:after="120"/>
      </w:pPr>
      <w:r>
        <w:rPr>
          <w:color w:val="222222"/>
          <w:sz w:val="21"/>
          <w:szCs w:val="21"/>
        </w:rPr>
        <w:t xml:space="preserve">Le journal d'événements devient également générique, avec un type d'objet et un identifiant d'objet plutôt qu'un identifiant d'affilié dédié :</w:t>
      </w:r>
    </w:p>
    <w:p>
      <w:pPr>
        <w:shd w:fill="F2F2F2" w:val="clear"/>
        <w:spacing w:after="200" w:before="100"/>
      </w:pPr>
      <w:r>
        <w:rPr>
          <w:rFonts w:ascii="Consolas" w:cs="Consolas" w:eastAsia="Consolas" w:hAnsi="Consolas"/>
          <w:color w:val="222222"/>
          <w:sz w:val="19"/>
          <w:szCs w:val="19"/>
        </w:rPr>
        <w:t xml:space="preserve">mg.governance_events (event_uuid, domain_code, event_type, object_type, object_uuid,
  source_environment, target_environment, payload, payload_hash,
  created_at, validated_at, propagated_at, propagated_by, status, error_detail)</w:t>
      </w:r>
    </w:p>
    <w:p>
      <w:pPr>
        <w:spacing w:after="120"/>
      </w:pPr>
      <w:r>
        <w:rPr>
          <w:color w:val="222222"/>
          <w:sz w:val="21"/>
          <w:szCs w:val="21"/>
        </w:rPr>
        <w:t xml:space="preserve">Le domaine identité devient le premier enregistrement de domain_code (IDENTITY), au même titre que les domaines futurs. object_uuid reprend la valeur actuellement portée par affiliate_uuid — identity_uuid reste la clé, seule sa colonne d'accueil change de table.</w:t>
      </w:r>
    </w:p>
    <w:p>
      <w:pPr>
        <w:pStyle w:val="Heading2"/>
        <w:spacing w:after="120" w:before="260"/>
      </w:pPr>
      <w:r>
        <w:rPr>
          <w:b/>
          <w:bCs/>
          <w:color w:val="222222"/>
          <w:sz w:val="23"/>
          <w:szCs w:val="23"/>
        </w:rPr>
        <w:t xml:space="preserve">Synchroniseur</w:t>
      </w:r>
    </w:p>
    <w:p>
      <w:pPr>
        <w:spacing w:after="120"/>
      </w:pPr>
      <w:r>
        <w:rPr>
          <w:color w:val="222222"/>
          <w:sz w:val="21"/>
          <w:szCs w:val="21"/>
        </w:rPr>
        <w:t xml:space="preserve">identity_synchronizer.py est remplacé par un synchroniseur générique unique, paramétré par domain_code, incluant d'emblée les deux correctifs déjà appris sur le cas identité : échappement SQL réalisé côté Python (jamais d'interpolation psql -v/:'var', non fonctionnelle dans cet environnement), et reprise automatique des événements en statut FAILED en plus de PENDING.</w:t>
      </w:r>
    </w:p>
    <w:p>
      <w:pPr>
        <w:spacing w:after="120"/>
      </w:pPr>
      <w:r>
        <w:rPr>
          <w:color w:val="222222"/>
          <w:sz w:val="21"/>
          <w:szCs w:val="21"/>
        </w:rPr>
        <w:t xml:space="preserve">Limite déjà identifiée et assumée comme dette technique, à traiter dans une itération ultérieure : absence de distinction entre échec transitoire et échec permanent — un événement en échec permanent serait retenté indéfiniment. Cette limite s'applique de la même façon, quel que soit le domaine.</w:t>
      </w:r>
    </w:p>
    <w:p>
      <w:pPr>
        <w:pStyle w:val="Heading2"/>
        <w:spacing w:after="120" w:before="260"/>
      </w:pPr>
      <w:r>
        <w:rPr>
          <w:b/>
          <w:bCs/>
          <w:color w:val="222222"/>
          <w:sz w:val="23"/>
          <w:szCs w:val="23"/>
        </w:rPr>
        <w:t xml:space="preserve">Point d'entrée interne</w:t>
      </w:r>
    </w:p>
    <w:p>
      <w:pPr>
        <w:spacing w:after="120"/>
      </w:pPr>
      <w:r>
        <w:rPr>
          <w:color w:val="222222"/>
          <w:sz w:val="21"/>
          <w:szCs w:val="21"/>
        </w:rPr>
        <w:t xml:space="preserve">L'endpoint interne machine-à-machine devient générique, avec le domaine porté dans le corps de la requête plutôt qu'un chemin dédié par domaine :</w:t>
      </w:r>
    </w:p>
    <w:p>
      <w:pPr>
        <w:shd w:fill="F2F2F2" w:val="clear"/>
        <w:spacing w:after="200" w:before="100"/>
      </w:pPr>
      <w:r>
        <w:rPr>
          <w:rFonts w:ascii="Consolas" w:cs="Consolas" w:eastAsia="Consolas" w:hAnsi="Consolas"/>
          <w:color w:val="222222"/>
          <w:sz w:val="19"/>
          <w:szCs w:val="19"/>
        </w:rPr>
        <w:t xml:space="preserve">POST /api/v1/sync/apply-event   { domain_code, event_type, object_uuid, payload }</w:t>
      </w:r>
    </w:p>
    <w:p>
      <w:pPr>
        <w:spacing w:after="120"/>
      </w:pPr>
      <w:r>
        <w:rPr>
          <w:color w:val="222222"/>
          <w:sz w:val="21"/>
          <w:szCs w:val="21"/>
        </w:rPr>
        <w:t xml:space="preserve">Protégé par le même mécanisme de secret partagé que l'endpoint actuel (X-Sync-Secret), sans changement de doctrine sur ce point.</w:t>
      </w:r>
    </w:p>
    <w:p>
      <w:r>
        <w:br w:type="page"/>
      </w:r>
    </w:p>
    <w:p>
      <w:pPr>
        <w:pStyle w:val="Heading1"/>
        <w:pBdr>
          <w:bottom w:val="single" w:color="1A6B2A" w:sz="6" w:space="4"/>
        </w:pBdr>
        <w:spacing w:after="200" w:before="400"/>
      </w:pPr>
      <w:r>
        <w:rPr>
          <w:b/>
          <w:bCs/>
          <w:color w:val="1A6B2A"/>
          <w:sz w:val="28"/>
          <w:szCs w:val="28"/>
        </w:rPr>
        <w:t xml:space="preserve">Plan de migration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2000"/>
      </w:tblGrid>
      <w:tr>
        <w:tc>
          <w:tcPr>
            <w:tcW w:type="dxa" w:w="900"/>
            <w:shd w:fill="1A6B2A" w:val="clear"/>
            <w:tcMar>
              <w:top w:type="dxa" w:w="80"/>
              <w:left w:type="dxa" w:w="100"/>
              <w:bottom w:type="dxa" w:w="80"/>
              <w:right w:type="dxa" w:w="100"/>
            </w:tcMar>
          </w:tcPr>
          <w:p>
            <w:r>
              <w:rPr>
                <w:b/>
                <w:bCs/>
                <w:color w:val="FFFFFF"/>
                <w:sz w:val="19"/>
                <w:szCs w:val="19"/>
              </w:rPr>
              <w:t xml:space="preserve">Phase</w:t>
            </w:r>
          </w:p>
        </w:tc>
        <w:tc>
          <w:tcPr>
            <w:tcW w:type="dxa" w:w="6600"/>
            <w:shd w:fill="1A6B2A" w:val="clear"/>
            <w:tcMar>
              <w:top w:type="dxa" w:w="80"/>
              <w:left w:type="dxa" w:w="100"/>
              <w:bottom w:type="dxa" w:w="80"/>
              <w:right w:type="dxa" w:w="100"/>
            </w:tcMar>
          </w:tcPr>
          <w:p>
            <w:r>
              <w:rPr>
                <w:b/>
                <w:bCs/>
                <w:color w:val="FFFFFF"/>
                <w:sz w:val="19"/>
                <w:szCs w:val="19"/>
              </w:rPr>
              <w:t xml:space="preserve">Contenu</w:t>
            </w:r>
          </w:p>
        </w:tc>
        <w:tc>
          <w:tcPr>
            <w:tcW w:type="dxa" w:w="2000"/>
            <w:shd w:fill="1A6B2A" w:val="clear"/>
            <w:tcMar>
              <w:top w:type="dxa" w:w="80"/>
              <w:left w:type="dxa" w:w="100"/>
              <w:bottom w:type="dxa" w:w="80"/>
              <w:right w:type="dxa" w:w="100"/>
            </w:tcMar>
          </w:tcPr>
          <w:p>
            <w:r>
              <w:rPr>
                <w:b/>
                <w:bCs/>
                <w:color w:val="FFFFFF"/>
                <w:sz w:val="19"/>
                <w:szCs w:val="19"/>
              </w:rPr>
              <w:t xml:space="preserve">Risque</w:t>
            </w:r>
          </w:p>
        </w:tc>
      </w:tr>
      <w:tr>
        <w:tc>
          <w:tcPr>
            <w:tcW w:type="dxa" w:w="900"/>
            <w:tcMar>
              <w:top w:type="dxa" w:w="80"/>
              <w:left w:type="dxa" w:w="100"/>
              <w:bottom w:type="dxa" w:w="80"/>
              <w:right w:type="dxa" w:w="100"/>
            </w:tcMar>
          </w:tcPr>
          <w:p>
            <w:r>
              <w:rPr>
                <w:b w:val="false"/>
                <w:bCs w:val="false"/>
                <w:color w:val="222222"/>
                <w:sz w:val="19"/>
                <w:szCs w:val="19"/>
              </w:rPr>
              <w:t xml:space="preserve">1</w:t>
            </w:r>
          </w:p>
        </w:tc>
        <w:tc>
          <w:tcPr>
            <w:tcW w:type="dxa" w:w="6600"/>
            <w:tcMar>
              <w:top w:type="dxa" w:w="80"/>
              <w:left w:type="dxa" w:w="100"/>
              <w:bottom w:type="dxa" w:w="80"/>
              <w:right w:type="dxa" w:w="100"/>
            </w:tcMar>
          </w:tcPr>
          <w:p>
            <w:r>
              <w:rPr>
                <w:b w:val="false"/>
                <w:bCs w:val="false"/>
                <w:color w:val="222222"/>
                <w:sz w:val="19"/>
                <w:szCs w:val="19"/>
              </w:rPr>
              <w:t xml:space="preserve">Créer le schéma générique (rf.event_types, mg.governance_events) sur les trois environnements, sans toucher à l'existant</w:t>
            </w:r>
          </w:p>
        </w:tc>
        <w:tc>
          <w:tcPr>
            <w:tcW w:type="dxa" w:w="2000"/>
            <w:tcMar>
              <w:top w:type="dxa" w:w="80"/>
              <w:left w:type="dxa" w:w="100"/>
              <w:bottom w:type="dxa" w:w="80"/>
              <w:right w:type="dxa" w:w="100"/>
            </w:tcMar>
          </w:tcPr>
          <w:p>
            <w:r>
              <w:rPr>
                <w:b w:val="false"/>
                <w:bCs w:val="false"/>
                <w:color w:val="222222"/>
                <w:sz w:val="19"/>
                <w:szCs w:val="19"/>
              </w:rPr>
              <w:t xml:space="preserve">Faible — additif uniquement</w:t>
            </w:r>
          </w:p>
        </w:tc>
      </w:tr>
      <w:tr>
        <w:tc>
          <w:tcPr>
            <w:tcW w:type="dxa" w:w="900"/>
            <w:shd w:fill="F2F2F2" w:val="clear"/>
            <w:tcMar>
              <w:top w:type="dxa" w:w="80"/>
              <w:left w:type="dxa" w:w="100"/>
              <w:bottom w:type="dxa" w:w="80"/>
              <w:right w:type="dxa" w:w="100"/>
            </w:tcMar>
          </w:tcPr>
          <w:p>
            <w:r>
              <w:rPr>
                <w:b w:val="false"/>
                <w:bCs w:val="false"/>
                <w:color w:val="222222"/>
                <w:sz w:val="19"/>
                <w:szCs w:val="19"/>
              </w:rPr>
              <w:t xml:space="preserve">2</w:t>
            </w:r>
          </w:p>
        </w:tc>
        <w:tc>
          <w:tcPr>
            <w:tcW w:type="dxa" w:w="6600"/>
            <w:shd w:fill="F2F2F2" w:val="clear"/>
            <w:tcMar>
              <w:top w:type="dxa" w:w="80"/>
              <w:left w:type="dxa" w:w="100"/>
              <w:bottom w:type="dxa" w:w="80"/>
              <w:right w:type="dxa" w:w="100"/>
            </w:tcMar>
          </w:tcPr>
          <w:p>
            <w:r>
              <w:rPr>
                <w:b w:val="false"/>
                <w:bCs w:val="false"/>
                <w:color w:val="222222"/>
                <w:sz w:val="19"/>
                <w:szCs w:val="19"/>
              </w:rPr>
              <w:t xml:space="preserve">Migrer les deux enregistrements de rf.identity_event_types vers rf.event_types (domain_code=IDENTITY)</w:t>
            </w:r>
          </w:p>
        </w:tc>
        <w:tc>
          <w:tcPr>
            <w:tcW w:type="dxa" w:w="2000"/>
            <w:shd w:fill="F2F2F2" w:val="clear"/>
            <w:tcMar>
              <w:top w:type="dxa" w:w="80"/>
              <w:left w:type="dxa" w:w="100"/>
              <w:bottom w:type="dxa" w:w="80"/>
              <w:right w:type="dxa" w:w="100"/>
            </w:tcMar>
          </w:tcPr>
          <w:p>
            <w:r>
              <w:rPr>
                <w:b w:val="false"/>
                <w:bCs w:val="false"/>
                <w:color w:val="222222"/>
                <w:sz w:val="19"/>
                <w:szCs w:val="19"/>
              </w:rPr>
              <w:t xml:space="preserve">Faible — table actuellement sans historique réel (comptes de test uniquement, déjà nettoyés)</w:t>
            </w:r>
          </w:p>
        </w:tc>
      </w:tr>
      <w:tr>
        <w:tc>
          <w:tcPr>
            <w:tcW w:type="dxa" w:w="900"/>
            <w:tcMar>
              <w:top w:type="dxa" w:w="80"/>
              <w:left w:type="dxa" w:w="100"/>
              <w:bottom w:type="dxa" w:w="80"/>
              <w:right w:type="dxa" w:w="100"/>
            </w:tcMar>
          </w:tcPr>
          <w:p>
            <w:r>
              <w:rPr>
                <w:b w:val="false"/>
                <w:bCs w:val="false"/>
                <w:color w:val="222222"/>
                <w:sz w:val="19"/>
                <w:szCs w:val="19"/>
              </w:rPr>
              <w:t xml:space="preserve">3</w:t>
            </w:r>
          </w:p>
        </w:tc>
        <w:tc>
          <w:tcPr>
            <w:tcW w:type="dxa" w:w="6600"/>
            <w:tcMar>
              <w:top w:type="dxa" w:w="80"/>
              <w:left w:type="dxa" w:w="100"/>
              <w:bottom w:type="dxa" w:w="80"/>
              <w:right w:type="dxa" w:w="100"/>
            </w:tcMar>
          </w:tcPr>
          <w:p>
            <w:r>
              <w:rPr>
                <w:b w:val="false"/>
                <w:bCs w:val="false"/>
                <w:color w:val="222222"/>
                <w:sz w:val="19"/>
                <w:szCs w:val="19"/>
              </w:rPr>
              <w:t xml:space="preserve">Adapter api/routers/affiliation.py : emit_identity_event() et apply_sync_event() ciblent le nouveau schéma générique</w:t>
            </w:r>
          </w:p>
        </w:tc>
        <w:tc>
          <w:tcPr>
            <w:tcW w:type="dxa" w:w="2000"/>
            <w:tcMar>
              <w:top w:type="dxa" w:w="80"/>
              <w:left w:type="dxa" w:w="100"/>
              <w:bottom w:type="dxa" w:w="80"/>
              <w:right w:type="dxa" w:w="100"/>
            </w:tcMar>
          </w:tcPr>
          <w:p>
            <w:r>
              <w:rPr>
                <w:b w:val="false"/>
                <w:bCs w:val="false"/>
                <w:color w:val="222222"/>
                <w:sz w:val="19"/>
                <w:szCs w:val="19"/>
              </w:rPr>
              <w:t xml:space="preserve">Moyen — code déjà validé end-to-end, à retester intégralement</w:t>
            </w:r>
          </w:p>
        </w:tc>
      </w:tr>
      <w:tr>
        <w:tc>
          <w:tcPr>
            <w:tcW w:type="dxa" w:w="900"/>
            <w:shd w:fill="F2F2F2" w:val="clear"/>
            <w:tcMar>
              <w:top w:type="dxa" w:w="80"/>
              <w:left w:type="dxa" w:w="100"/>
              <w:bottom w:type="dxa" w:w="80"/>
              <w:right w:type="dxa" w:w="100"/>
            </w:tcMar>
          </w:tcPr>
          <w:p>
            <w:r>
              <w:rPr>
                <w:b w:val="false"/>
                <w:bCs w:val="false"/>
                <w:color w:val="222222"/>
                <w:sz w:val="19"/>
                <w:szCs w:val="19"/>
              </w:rPr>
              <w:t xml:space="preserve">4</w:t>
            </w:r>
          </w:p>
        </w:tc>
        <w:tc>
          <w:tcPr>
            <w:tcW w:type="dxa" w:w="6600"/>
            <w:shd w:fill="F2F2F2" w:val="clear"/>
            <w:tcMar>
              <w:top w:type="dxa" w:w="80"/>
              <w:left w:type="dxa" w:w="100"/>
              <w:bottom w:type="dxa" w:w="80"/>
              <w:right w:type="dxa" w:w="100"/>
            </w:tcMar>
          </w:tcPr>
          <w:p>
            <w:r>
              <w:rPr>
                <w:b w:val="false"/>
                <w:bCs w:val="false"/>
                <w:color w:val="222222"/>
                <w:sz w:val="19"/>
                <w:szCs w:val="19"/>
              </w:rPr>
              <w:t xml:space="preserve">Généraliser identity_synchronizer.py en synchroniseur paramétré, domain_code=IDENTITY par défaut pour compatibilité</w:t>
            </w:r>
          </w:p>
        </w:tc>
        <w:tc>
          <w:tcPr>
            <w:tcW w:type="dxa" w:w="2000"/>
            <w:shd w:fill="F2F2F2" w:val="clear"/>
            <w:tcMar>
              <w:top w:type="dxa" w:w="80"/>
              <w:left w:type="dxa" w:w="100"/>
              <w:bottom w:type="dxa" w:w="80"/>
              <w:right w:type="dxa" w:w="100"/>
            </w:tcMar>
          </w:tcPr>
          <w:p>
            <w:r>
              <w:rPr>
                <w:b w:val="false"/>
                <w:bCs w:val="false"/>
                <w:color w:val="222222"/>
                <w:sz w:val="19"/>
                <w:szCs w:val="19"/>
              </w:rPr>
              <w:t xml:space="preserve">Moyen — reprend les deux correctifs déjà connus</w:t>
            </w:r>
          </w:p>
        </w:tc>
      </w:tr>
      <w:tr>
        <w:tc>
          <w:tcPr>
            <w:tcW w:type="dxa" w:w="900"/>
            <w:tcMar>
              <w:top w:type="dxa" w:w="80"/>
              <w:left w:type="dxa" w:w="100"/>
              <w:bottom w:type="dxa" w:w="80"/>
              <w:right w:type="dxa" w:w="100"/>
            </w:tcMar>
          </w:tcPr>
          <w:p>
            <w:r>
              <w:rPr>
                <w:b w:val="false"/>
                <w:bCs w:val="false"/>
                <w:color w:val="222222"/>
                <w:sz w:val="19"/>
                <w:szCs w:val="19"/>
              </w:rPr>
              <w:t xml:space="preserve">5</w:t>
            </w:r>
          </w:p>
        </w:tc>
        <w:tc>
          <w:tcPr>
            <w:tcW w:type="dxa" w:w="6600"/>
            <w:tcMar>
              <w:top w:type="dxa" w:w="80"/>
              <w:left w:type="dxa" w:w="100"/>
              <w:bottom w:type="dxa" w:w="80"/>
              <w:right w:type="dxa" w:w="100"/>
            </w:tcMar>
          </w:tcPr>
          <w:p>
            <w:r>
              <w:rPr>
                <w:b w:val="false"/>
                <w:bCs w:val="false"/>
                <w:color w:val="222222"/>
                <w:sz w:val="19"/>
                <w:szCs w:val="19"/>
              </w:rPr>
              <w:t xml:space="preserve">Revalider le cycle complet ADR-002 §6 sur le nouveau schéma, avec un nouvel affilié de test jetable</w:t>
            </w:r>
          </w:p>
        </w:tc>
        <w:tc>
          <w:tcPr>
            <w:tcW w:type="dxa" w:w="2000"/>
            <w:tcMar>
              <w:top w:type="dxa" w:w="80"/>
              <w:left w:type="dxa" w:w="100"/>
              <w:bottom w:type="dxa" w:w="80"/>
              <w:right w:type="dxa" w:w="100"/>
            </w:tcMar>
          </w:tcPr>
          <w:p>
            <w:r>
              <w:rPr>
                <w:b w:val="false"/>
                <w:bCs w:val="false"/>
                <w:color w:val="222222"/>
                <w:sz w:val="19"/>
                <w:szCs w:val="19"/>
              </w:rPr>
              <w:t xml:space="preserve">Faible — méthode déjà éprouvée deux fois</w:t>
            </w:r>
          </w:p>
        </w:tc>
      </w:tr>
      <w:tr>
        <w:tc>
          <w:tcPr>
            <w:tcW w:type="dxa" w:w="900"/>
            <w:shd w:fill="F2F2F2" w:val="clear"/>
            <w:tcMar>
              <w:top w:type="dxa" w:w="80"/>
              <w:left w:type="dxa" w:w="100"/>
              <w:bottom w:type="dxa" w:w="80"/>
              <w:right w:type="dxa" w:w="100"/>
            </w:tcMar>
          </w:tcPr>
          <w:p>
            <w:r>
              <w:rPr>
                <w:b w:val="false"/>
                <w:bCs w:val="false"/>
                <w:color w:val="222222"/>
                <w:sz w:val="19"/>
                <w:szCs w:val="19"/>
              </w:rPr>
              <w:t xml:space="preserve">6</w:t>
            </w:r>
          </w:p>
        </w:tc>
        <w:tc>
          <w:tcPr>
            <w:tcW w:type="dxa" w:w="6600"/>
            <w:shd w:fill="F2F2F2" w:val="clear"/>
            <w:tcMar>
              <w:top w:type="dxa" w:w="80"/>
              <w:left w:type="dxa" w:w="100"/>
              <w:bottom w:type="dxa" w:w="80"/>
              <w:right w:type="dxa" w:w="100"/>
            </w:tcMar>
          </w:tcPr>
          <w:p>
            <w:r>
              <w:rPr>
                <w:b w:val="false"/>
                <w:bCs w:val="false"/>
                <w:color w:val="222222"/>
                <w:sz w:val="19"/>
                <w:szCs w:val="19"/>
              </w:rPr>
              <w:t xml:space="preserve">Décommissionner mg.identity_events et rf.identity_event_types une fois la validation confirmée</w:t>
            </w:r>
          </w:p>
        </w:tc>
        <w:tc>
          <w:tcPr>
            <w:tcW w:type="dxa" w:w="2000"/>
            <w:shd w:fill="F2F2F2" w:val="clear"/>
            <w:tcMar>
              <w:top w:type="dxa" w:w="80"/>
              <w:left w:type="dxa" w:w="100"/>
              <w:bottom w:type="dxa" w:w="80"/>
              <w:right w:type="dxa" w:w="100"/>
            </w:tcMar>
          </w:tcPr>
          <w:p>
            <w:r>
              <w:rPr>
                <w:b w:val="false"/>
                <w:bCs w:val="false"/>
                <w:color w:val="222222"/>
                <w:sz w:val="19"/>
                <w:szCs w:val="19"/>
              </w:rPr>
              <w:t xml:space="preserve">Faible si Phase 5 concluante</w:t>
            </w:r>
          </w:p>
        </w:tc>
      </w:tr>
    </w:tbl>
    <w:p>
      <w:pPr>
        <w:spacing w:after="120"/>
      </w:pPr>
      <w:r>
        <w:rPr>
          <w:color w:val="222222"/>
          <w:sz w:val="21"/>
          <w:szCs w:val="21"/>
        </w:rPr>
        <w:t xml:space="preserve">Aucune donnée réelle n'est actuellement portée par mg.identity_events (les seuls enregistrements produits à ce jour concernaient un affilié de test, supprimé en fin de session) — la migration ne pose donc pas de problème de reprise de données à cette étape du projet. Elle sera d'autant plus simple à réaliser maintenant qu'elle le serait après une mise en production réelle avec des affiliés fondateurs actifs.</w:t>
      </w:r>
    </w:p>
    <w:p>
      <w:pPr>
        <w:pStyle w:val="Heading1"/>
        <w:pBdr>
          <w:bottom w:val="single" w:color="1A6B2A" w:sz="6" w:space="4"/>
        </w:pBdr>
        <w:spacing w:after="200" w:before="400"/>
      </w:pPr>
      <w:r>
        <w:rPr>
          <w:b/>
          <w:bCs/>
          <w:color w:val="1A6B2A"/>
          <w:sz w:val="28"/>
          <w:szCs w:val="28"/>
        </w:rPr>
        <w:t xml:space="preserve">Domaines futurs</w:t>
      </w:r>
    </w:p>
    <w:p>
      <w:pPr>
        <w:spacing w:after="120"/>
      </w:pPr>
      <w:r>
        <w:rPr>
          <w:color w:val="222222"/>
          <w:sz w:val="21"/>
          <w:szCs w:val="21"/>
        </w:rPr>
        <w:t xml:space="preserve">Aucun domaine n'est choisi à ce stade au-delà de l'identité — conformément au cadrage retenu, cette généralisation porte sur l'architecture, pas sur un cas d'usage second. Le document de proposition d'origine évoque ISA, POA, AMAR, GENECO, les projets stratégiques et les paramètres de gouvernance comme domaines candidats futurs ; aucun n'est engagé par le présent document.</w:t>
      </w:r>
    </w:p>
    <w:p>
      <w:pPr>
        <w:pStyle w:val="Heading1"/>
        <w:pBdr>
          <w:bottom w:val="single" w:color="1A6B2A" w:sz="6" w:space="4"/>
        </w:pBdr>
        <w:spacing w:after="200" w:before="400"/>
      </w:pPr>
      <w:r>
        <w:rPr>
          <w:b/>
          <w:bCs/>
          <w:color w:val="1A6B2A"/>
          <w:sz w:val="28"/>
          <w:szCs w:val="28"/>
        </w:rPr>
        <w:t xml:space="preserve">Décision finale</w:t>
      </w:r>
    </w:p>
    <w:p>
      <w:pPr>
        <w:spacing w:after="120"/>
      </w:pPr>
      <w:r>
        <w:rPr>
          <w:color w:val="222222"/>
          <w:sz w:val="21"/>
          <w:szCs w:val="21"/>
        </w:rPr>
        <w:t xml:space="preserve">Le mécanisme de synchronisation d'identité (ADR-001, validé par l'ADR-002) est absorbé par un moteur de gouvernance événementielle générique, plutôt que maintenu comme mécanisme isolé. Les principes doctrinaux qui le gouvernaient deviennent les principes du moteur générique, appliqués uniformément à tout domaine présent ou futur. Statut : architecture actée, mise en œuvre non démarrée — cf. plan de migration ci-dessus.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OSA Observatory — ADR-003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2026-07-14T10:25:30.136Z</dcterms:created>
  <dcterms:modified xsi:type="dcterms:W3CDTF">2026-07-14T10:25:30.160Z</dcterms:modified>
</cp:coreProperties>
</file>

<file path=docProps/custom.xml><?xml version="1.0" encoding="utf-8"?>
<Properties xmlns="http://schemas.openxmlformats.org/officeDocument/2006/custom-properties" xmlns:vt="http://schemas.openxmlformats.org/officeDocument/2006/docPropsVTypes"/>
</file>