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jc w:val="center"/>
      </w:pPr>
      <w:r>
        <w:rPr>
          <w:b/>
          <w:bCs/>
          <w:color w:val="1A6B2A"/>
          <w:sz w:val="36"/>
          <w:szCs w:val="36"/>
        </w:rPr>
        <w:t xml:space="preserve">OSA OBSERVATORY</w:t>
      </w:r>
    </w:p>
    <w:p>
      <w:pPr>
        <w:spacing w:after="300" w:before="60"/>
        <w:jc w:val="center"/>
      </w:pPr>
      <w:r>
        <w:rPr>
          <w:i/>
          <w:iCs/>
          <w:color w:val="C8973A"/>
          <w:sz w:val="20"/>
          <w:szCs w:val="20"/>
        </w:rPr>
        <w:t xml:space="preserve">Observatoire de la Souveraineté Africaine</w:t>
      </w:r>
    </w:p>
    <w:p>
      <w:pPr>
        <w:jc w:val="center"/>
      </w:pPr>
      <w:r>
        <w:rPr>
          <w:b/>
          <w:bCs/>
          <w:color w:val="222222"/>
          <w:sz w:val="27"/>
          <w:szCs w:val="27"/>
        </w:rPr>
        <w:t xml:space="preserve">ADR-004 — Le bus de gouvernance événementielle de l'OSA</w:t>
      </w:r>
    </w:p>
    <w:p>
      <w:pPr>
        <w:spacing w:after="100" w:before="100"/>
        <w:jc w:val="center"/>
      </w:pPr>
      <w:r>
        <w:rPr>
          <w:color w:val="666666"/>
          <w:sz w:val="20"/>
          <w:szCs w:val="20"/>
        </w:rPr>
        <w:t xml:space="preserve">S'appuie sur ADR-001, ADR-002 et ADR-003 — ne les remplace pas</w:t>
      </w:r>
    </w:p>
    <w:p>
      <w:pPr>
        <w:spacing w:before="200"/>
        <w:jc w:val="center"/>
      </w:pPr>
      <w:r>
        <w:rPr>
          <w:b/>
          <w:bCs/>
          <w:color w:val="222222"/>
          <w:sz w:val="20"/>
          <w:szCs w:val="20"/>
        </w:rPr>
        <w:t xml:space="preserve">14 juillet 2026</w:t>
      </w:r>
    </w:p>
    <w:p>
      <w:pPr>
        <w:pStyle w:val="Heading1"/>
        <w:pBdr>
          <w:bottom w:val="single" w:color="1A6B2A" w:sz="6" w:space="4"/>
        </w:pBdr>
        <w:spacing w:after="190" w:before="380"/>
      </w:pPr>
      <w:r>
        <w:rPr>
          <w:b/>
          <w:bCs/>
          <w:color w:val="1A6B2A"/>
          <w:sz w:val="27"/>
          <w:szCs w:val="27"/>
        </w:rPr>
        <w:t xml:space="preserve">Préambule</w:t>
      </w:r>
    </w:p>
    <w:p>
      <w:pPr>
        <w:spacing w:after="110"/>
      </w:pPr>
      <w:r>
        <w:rPr>
          <w:color w:val="222222"/>
          <w:sz w:val="21"/>
          <w:szCs w:val="21"/>
        </w:rPr>
        <w:t xml:space="preserve">L'ADR-003 actait la migration du mécanisme de synchronisation d'identité vers un moteur générique, en évitant de maintenir deux pipelines parallèles. À la validation de cette proposition, une orientation stratégique plus large a été formulée : ne pas construire un synchroniseur d'identités généralisé, mais poser dès maintenant les fondations définitives de la gouvernance événementielle de l'Observatoire.</w:t>
      </w:r>
    </w:p>
    <w:p>
      <w:pPr>
        <w:pBdr>
          <w:left w:val="single" w:color="C8973A" w:sz="18" w:space="8"/>
        </w:pBdr>
        <w:spacing w:after="200" w:before="100"/>
        <w:ind w:left="300"/>
      </w:pPr>
      <w:r>
        <w:rPr>
          <w:i/>
          <w:iCs/>
          <w:color w:val="222222"/>
          <w:sz w:val="21"/>
          <w:szCs w:val="21"/>
        </w:rPr>
        <w:t xml:space="preserve">« Nous ne construisons plus un synchroniseur d'identités. Nous construisons le premier composant du système de gouvernance événementielle de l'Observatoire Africain de la Souveraineté. »</w:t>
      </w:r>
    </w:p>
    <w:p>
      <w:pPr>
        <w:spacing w:after="110"/>
      </w:pPr>
      <w:r>
        <w:rPr>
          <w:color w:val="222222"/>
          <w:sz w:val="21"/>
          <w:szCs w:val="21"/>
        </w:rPr>
        <w:t xml:space="preserve">Cette distinction est significative pour la doctrine. Jusqu'à présent, les événements servaient la gestion des affiliations. Le présent ADR élève ce mécanisme au rang de bus de gouvernance : le canal unique par lequel tout actif gouverné de l'OSA — identités, référentiels méthodologiques, décisions, publications, produits scientifiques — pourra un jour se propager entre environnements, sans reconstruire un mécanisme spécifique à chaque fois.</w:t>
      </w:r>
    </w:p>
    <w:p>
      <w:pPr>
        <w:spacing w:after="110"/>
      </w:pPr>
      <w:r>
        <w:rPr>
          <w:color w:val="222222"/>
          <w:sz w:val="21"/>
          <w:szCs w:val="21"/>
        </w:rPr>
        <w:t xml:space="preserve">Le présent document ne remplace pas l'ADR-003 : il s'appuie explicitement dessus et en élève la portée. Le schéma livré en Phase 1 de l'ADR-003 (rf.event_types, mg.governance_events) reste la base technique — il n'est pas remis en cause, et se trouve déjà conforme à l'ambition décrite ici.</w:t>
      </w:r>
    </w:p>
    <w:p>
      <w:pPr>
        <w:pStyle w:val="Heading1"/>
        <w:pBdr>
          <w:bottom w:val="single" w:color="1A6B2A" w:sz="6" w:space="4"/>
        </w:pBdr>
        <w:spacing w:after="190" w:before="380"/>
      </w:pPr>
      <w:r>
        <w:rPr>
          <w:b/>
          <w:bCs/>
          <w:color w:val="1A6B2A"/>
          <w:sz w:val="27"/>
          <w:szCs w:val="27"/>
        </w:rPr>
        <w:t xml:space="preserve">Décision</w:t>
      </w:r>
    </w:p>
    <w:p>
      <w:pPr>
        <w:spacing w:after="110"/>
      </w:pPr>
      <w:r>
        <w:rPr>
          <w:color w:val="222222"/>
          <w:sz w:val="21"/>
          <w:szCs w:val="21"/>
        </w:rPr>
        <w:t xml:space="preserve">L'OSA Observatory adopte un bus de gouvernance événementielle générique et extensible comme mécanisme unique de propagation entre environnements pour l'ensemble de ses actifs gouvernés, actuels et futurs. L'identité demeure le premier domaine branché sur ce bus ; elle n'en est ni le fondement ni la limite.</w:t>
      </w:r>
    </w:p>
    <w:p>
      <w:pPr>
        <w:pStyle w:val="Heading1"/>
        <w:pBdr>
          <w:bottom w:val="single" w:color="1A6B2A" w:sz="6" w:space="4"/>
        </w:pBdr>
        <w:spacing w:after="190" w:before="380"/>
      </w:pPr>
      <w:r>
        <w:rPr>
          <w:b/>
          <w:bCs/>
          <w:color w:val="1A6B2A"/>
          <w:sz w:val="27"/>
          <w:szCs w:val="27"/>
        </w:rPr>
        <w:t xml:space="preserve">Principes retenus</w:t>
      </w:r>
    </w:p>
    <w:p>
      <w:pPr>
        <w:pStyle w:val="Heading2"/>
        <w:spacing w:after="110" w:before="240"/>
      </w:pPr>
      <w:r>
        <w:rPr>
          <w:b/>
          <w:bCs/>
          <w:color w:val="222222"/>
          <w:sz w:val="22"/>
          <w:szCs w:val="22"/>
        </w:rPr>
        <w:t xml:space="preserve">1. Coexistence jusqu'à validation complète</w:t>
      </w:r>
    </w:p>
    <w:p>
      <w:pPr>
        <w:spacing w:after="110"/>
      </w:pPr>
      <w:r>
        <w:rPr>
          <w:color w:val="222222"/>
          <w:sz w:val="21"/>
          <w:szCs w:val="21"/>
        </w:rPr>
        <w:t xml:space="preserve">L'ancien mécanisme (mg.identity_events, rf.identity_event_types, identity_synchronizer.py, endpoint /api/v1/affiliation/sync/apply-event) et le nouveau bus générique coexistent sans interruption de service. La suppression de l'ancien mécanisme n'interviendra qu'à la Phase 6 du plan de migration (ADR-003), après audit complet.</w:t>
      </w:r>
    </w:p>
    <w:p>
      <w:pPr>
        <w:pStyle w:val="Heading2"/>
        <w:spacing w:after="110" w:before="240"/>
      </w:pPr>
      <w:r>
        <w:rPr>
          <w:b/>
          <w:bCs/>
          <w:color w:val="222222"/>
          <w:sz w:val="22"/>
          <w:szCs w:val="22"/>
        </w:rPr>
        <w:t xml:space="preserve">2. api/services/governance_events.py — composant officiel, pas un remplacement d'identity</w:t>
      </w:r>
    </w:p>
    <w:p>
      <w:pPr>
        <w:spacing w:after="110"/>
      </w:pPr>
      <w:r>
        <w:rPr>
          <w:color w:val="222222"/>
          <w:sz w:val="21"/>
          <w:szCs w:val="21"/>
        </w:rPr>
        <w:t xml:space="preserve">Ce module est le point d'entrée unique de toute propagation future entre environnements, pour tout domaine. Il n'est pas conçu pour se substituer à la logique d'identité existante : il devient la référence à laquelle l'identité, comme tout domaine ultérieur, se raccorde.</w:t>
      </w:r>
    </w:p>
    <w:p>
      <w:pPr>
        <w:pStyle w:val="Heading2"/>
        <w:spacing w:after="110" w:before="240"/>
      </w:pPr>
      <w:r>
        <w:rPr>
          <w:b/>
          <w:bCs/>
          <w:color w:val="222222"/>
          <w:sz w:val="22"/>
          <w:szCs w:val="22"/>
        </w:rPr>
        <w:t xml:space="preserve">3. Une structure d'événement stable, conçue pour l'extensibilité sans modification d'API</w:t>
      </w:r>
    </w:p>
    <w:p>
      <w:pPr>
        <w:spacing w:after="110"/>
      </w:pPr>
      <w:r>
        <w:rPr>
          <w:color w:val="222222"/>
          <w:sz w:val="21"/>
          <w:szCs w:val="21"/>
        </w:rPr>
        <w:t xml:space="preserve">La structure domain_code / event_type / object_type / object_uuid / payload, livrée en Phase 1 de l'ADR-003, est actée comme stable. Elle doit pouvoir accueillir, sans modification de schéma ni d'API, les domaines suivants (liste non exhaustive, aucun n'est engagé par le présent document)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shd w:fill="1A6B2A" w:val="clear"/>
            <w:tcMar>
              <w:top w:type="dxa" w:w="80"/>
              <w:left w:type="dxa" w:w="100"/>
              <w:bottom w:type="dxa" w:w="80"/>
              <w:right w:type="dxa" w:w="100"/>
            </w:tcMar>
          </w:tcPr>
          <w:p>
            <w:r>
              <w:rPr>
                <w:b/>
                <w:bCs/>
                <w:color w:val="FFFFFF"/>
                <w:sz w:val="19"/>
                <w:szCs w:val="19"/>
              </w:rPr>
              <w:t xml:space="preserve">Domaine</w:t>
            </w:r>
          </w:p>
        </w:tc>
        <w:tc>
          <w:tcPr>
            <w:tcW w:type="dxa" w:w="6200"/>
            <w:shd w:fill="1A6B2A" w:val="clear"/>
            <w:tcMar>
              <w:top w:type="dxa" w:w="80"/>
              <w:left w:type="dxa" w:w="100"/>
              <w:bottom w:type="dxa" w:w="80"/>
              <w:right w:type="dxa" w:w="100"/>
            </w:tcMar>
          </w:tcPr>
          <w:p>
            <w:r>
              <w:rPr>
                <w:b/>
                <w:bCs/>
                <w:color w:val="FFFFFF"/>
                <w:sz w:val="19"/>
                <w:szCs w:val="19"/>
              </w:rPr>
              <w:t xml:space="preserve">Statut</w:t>
            </w:r>
          </w:p>
        </w:tc>
      </w:tr>
      <w:tr>
        <w:tc>
          <w:tcPr>
            <w:tcW w:type="dxa" w:w="3200"/>
            <w:tcMar>
              <w:top w:type="dxa" w:w="80"/>
              <w:left w:type="dxa" w:w="100"/>
              <w:bottom w:type="dxa" w:w="80"/>
              <w:right w:type="dxa" w:w="100"/>
            </w:tcMar>
          </w:tcPr>
          <w:p>
            <w:r>
              <w:rPr>
                <w:b w:val="false"/>
                <w:bCs w:val="false"/>
                <w:color w:val="222222"/>
                <w:sz w:val="19"/>
                <w:szCs w:val="19"/>
              </w:rPr>
              <w:t xml:space="preserve">IDENTITY</w:t>
            </w:r>
          </w:p>
        </w:tc>
        <w:tc>
          <w:tcPr>
            <w:tcW w:type="dxa" w:w="6200"/>
            <w:tcMar>
              <w:top w:type="dxa" w:w="80"/>
              <w:left w:type="dxa" w:w="100"/>
              <w:bottom w:type="dxa" w:w="80"/>
              <w:right w:type="dxa" w:w="100"/>
            </w:tcMar>
          </w:tcPr>
          <w:p>
            <w:r>
              <w:rPr>
                <w:b w:val="false"/>
                <w:bCs w:val="false"/>
                <w:color w:val="222222"/>
                <w:sz w:val="19"/>
                <w:szCs w:val="19"/>
              </w:rPr>
              <w:t xml:space="preserve">Premier domaine branché — migration en cours (ADR-003)</w:t>
            </w:r>
          </w:p>
        </w:tc>
      </w:tr>
      <w:tr>
        <w:tc>
          <w:tcPr>
            <w:tcW w:type="dxa" w:w="3200"/>
            <w:shd w:fill="F2F2F2" w:val="clear"/>
            <w:tcMar>
              <w:top w:type="dxa" w:w="80"/>
              <w:left w:type="dxa" w:w="100"/>
              <w:bottom w:type="dxa" w:w="80"/>
              <w:right w:type="dxa" w:w="100"/>
            </w:tcMar>
          </w:tcPr>
          <w:p>
            <w:r>
              <w:rPr>
                <w:b w:val="false"/>
                <w:bCs w:val="false"/>
                <w:color w:val="222222"/>
                <w:sz w:val="19"/>
                <w:szCs w:val="19"/>
              </w:rPr>
              <w:t xml:space="preserve">GOVERNANCE</w:t>
            </w:r>
          </w:p>
        </w:tc>
        <w:tc>
          <w:tcPr>
            <w:tcW w:type="dxa" w:w="6200"/>
            <w:shd w:fill="F2F2F2" w:val="clear"/>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tcMar>
              <w:top w:type="dxa" w:w="80"/>
              <w:left w:type="dxa" w:w="100"/>
              <w:bottom w:type="dxa" w:w="80"/>
              <w:right w:type="dxa" w:w="100"/>
            </w:tcMar>
          </w:tcPr>
          <w:p>
            <w:r>
              <w:rPr>
                <w:b w:val="false"/>
                <w:bCs w:val="false"/>
                <w:color w:val="222222"/>
                <w:sz w:val="19"/>
                <w:szCs w:val="19"/>
              </w:rPr>
              <w:t xml:space="preserve">REPOSITORY</w:t>
            </w:r>
          </w:p>
        </w:tc>
        <w:tc>
          <w:tcPr>
            <w:tcW w:type="dxa" w:w="6200"/>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shd w:fill="F2F2F2" w:val="clear"/>
            <w:tcMar>
              <w:top w:type="dxa" w:w="80"/>
              <w:left w:type="dxa" w:w="100"/>
              <w:bottom w:type="dxa" w:w="80"/>
              <w:right w:type="dxa" w:w="100"/>
            </w:tcMar>
          </w:tcPr>
          <w:p>
            <w:r>
              <w:rPr>
                <w:b w:val="false"/>
                <w:bCs w:val="false"/>
                <w:color w:val="222222"/>
                <w:sz w:val="19"/>
                <w:szCs w:val="19"/>
              </w:rPr>
              <w:t xml:space="preserve">METHODOLOGY</w:t>
            </w:r>
          </w:p>
        </w:tc>
        <w:tc>
          <w:tcPr>
            <w:tcW w:type="dxa" w:w="6200"/>
            <w:shd w:fill="F2F2F2" w:val="clear"/>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tcMar>
              <w:top w:type="dxa" w:w="80"/>
              <w:left w:type="dxa" w:w="100"/>
              <w:bottom w:type="dxa" w:w="80"/>
              <w:right w:type="dxa" w:w="100"/>
            </w:tcMar>
          </w:tcPr>
          <w:p>
            <w:r>
              <w:rPr>
                <w:b w:val="false"/>
                <w:bCs w:val="false"/>
                <w:color w:val="222222"/>
                <w:sz w:val="19"/>
                <w:szCs w:val="19"/>
              </w:rPr>
              <w:t xml:space="preserve">DATA</w:t>
            </w:r>
          </w:p>
        </w:tc>
        <w:tc>
          <w:tcPr>
            <w:tcW w:type="dxa" w:w="6200"/>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shd w:fill="F2F2F2" w:val="clear"/>
            <w:tcMar>
              <w:top w:type="dxa" w:w="80"/>
              <w:left w:type="dxa" w:w="100"/>
              <w:bottom w:type="dxa" w:w="80"/>
              <w:right w:type="dxa" w:w="100"/>
            </w:tcMar>
          </w:tcPr>
          <w:p>
            <w:r>
              <w:rPr>
                <w:b w:val="false"/>
                <w:bCs w:val="false"/>
                <w:color w:val="222222"/>
                <w:sz w:val="19"/>
                <w:szCs w:val="19"/>
              </w:rPr>
              <w:t xml:space="preserve">PUBLICATION</w:t>
            </w:r>
          </w:p>
        </w:tc>
        <w:tc>
          <w:tcPr>
            <w:tcW w:type="dxa" w:w="6200"/>
            <w:shd w:fill="F2F2F2" w:val="clear"/>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tcMar>
              <w:top w:type="dxa" w:w="80"/>
              <w:left w:type="dxa" w:w="100"/>
              <w:bottom w:type="dxa" w:w="80"/>
              <w:right w:type="dxa" w:w="100"/>
            </w:tcMar>
          </w:tcPr>
          <w:p>
            <w:r>
              <w:rPr>
                <w:b w:val="false"/>
                <w:bCs w:val="false"/>
                <w:color w:val="222222"/>
                <w:sz w:val="19"/>
                <w:szCs w:val="19"/>
              </w:rPr>
              <w:t xml:space="preserve">PRODUCT</w:t>
            </w:r>
          </w:p>
        </w:tc>
        <w:tc>
          <w:tcPr>
            <w:tcW w:type="dxa" w:w="6200"/>
            <w:tcMar>
              <w:top w:type="dxa" w:w="80"/>
              <w:left w:type="dxa" w:w="100"/>
              <w:bottom w:type="dxa" w:w="80"/>
              <w:right w:type="dxa" w:w="100"/>
            </w:tcMar>
          </w:tcPr>
          <w:p>
            <w:r>
              <w:rPr>
                <w:b w:val="false"/>
                <w:bCs w:val="false"/>
                <w:color w:val="222222"/>
                <w:sz w:val="19"/>
                <w:szCs w:val="19"/>
              </w:rPr>
              <w:t xml:space="preserve">Candidat futur — non démarré</w:t>
            </w:r>
          </w:p>
        </w:tc>
      </w:tr>
      <w:tr>
        <w:tc>
          <w:tcPr>
            <w:tcW w:type="dxa" w:w="3200"/>
            <w:shd w:fill="F2F2F2" w:val="clear"/>
            <w:tcMar>
              <w:top w:type="dxa" w:w="80"/>
              <w:left w:type="dxa" w:w="100"/>
              <w:bottom w:type="dxa" w:w="80"/>
              <w:right w:type="dxa" w:w="100"/>
            </w:tcMar>
          </w:tcPr>
          <w:p>
            <w:r>
              <w:rPr>
                <w:b w:val="false"/>
                <w:bCs w:val="false"/>
                <w:color w:val="222222"/>
                <w:sz w:val="19"/>
                <w:szCs w:val="19"/>
              </w:rPr>
              <w:t xml:space="preserve">PARTNERSHIP</w:t>
            </w:r>
          </w:p>
        </w:tc>
        <w:tc>
          <w:tcPr>
            <w:tcW w:type="dxa" w:w="6200"/>
            <w:shd w:fill="F2F2F2" w:val="clear"/>
            <w:tcMar>
              <w:top w:type="dxa" w:w="80"/>
              <w:left w:type="dxa" w:w="100"/>
              <w:bottom w:type="dxa" w:w="80"/>
              <w:right w:type="dxa" w:w="100"/>
            </w:tcMar>
          </w:tcPr>
          <w:p>
            <w:r>
              <w:rPr>
                <w:b w:val="false"/>
                <w:bCs w:val="false"/>
                <w:color w:val="222222"/>
                <w:sz w:val="19"/>
                <w:szCs w:val="19"/>
              </w:rPr>
              <w:t xml:space="preserve">Candidat futur — non démarré</w:t>
            </w:r>
          </w:p>
        </w:tc>
      </w:tr>
    </w:tbl>
    <w:p>
      <w:pPr>
        <w:spacing w:after="110"/>
      </w:pPr>
      <w:r>
        <w:rPr>
          <w:color w:val="222222"/>
          <w:sz w:val="21"/>
          <w:szCs w:val="21"/>
        </w:rPr>
        <w:t xml:space="preserve">Techniquement, cette extensibilité est déjà acquise : domain_code n'est contraint par aucune liste fermée de valeurs (varchar libre), et l'ajout d'un domaine se traduit par un simple enregistrement dans rf.event_types, jamais par une modification de structure. Ce point n'est donc pas un développement à mener, mais une propriété à préserver dans toute évolution future du schéma.</w:t>
      </w:r>
    </w:p>
    <w:p>
      <w:pPr>
        <w:pStyle w:val="Heading2"/>
        <w:spacing w:after="110" w:before="240"/>
      </w:pPr>
      <w:r>
        <w:rPr>
          <w:b/>
          <w:bCs/>
          <w:color w:val="222222"/>
          <w:sz w:val="22"/>
          <w:szCs w:val="22"/>
        </w:rPr>
        <w:t xml:space="preserve">4. Évolution de vocabulaire</w:t>
      </w:r>
    </w:p>
    <w:p>
      <w:pPr>
        <w:spacing w:after="110"/>
      </w:pPr>
      <w:r>
        <w:rPr>
          <w:color w:val="222222"/>
          <w:sz w:val="21"/>
          <w:szCs w:val="21"/>
        </w:rPr>
        <w:t xml:space="preserve">Le composant de synchronisation généralisé est nommé governance_synchronizer.py, et non plus identity_synchronizer.py — ce n'est plus l'identité qui est synchronisée, mais des événements de gouvernance. Cette distinction, bien que terminologique, porte la doctrine : elle évite qu'un vocabulaire hérité restreigne la compréhension future du mécanisme.</w:t>
      </w:r>
    </w:p>
    <w:p>
      <w:pPr>
        <w:pStyle w:val="Heading2"/>
        <w:spacing w:after="110" w:before="240"/>
      </w:pPr>
      <w:r>
        <w:rPr>
          <w:b/>
          <w:bCs/>
          <w:color w:val="222222"/>
          <w:sz w:val="22"/>
          <w:szCs w:val="22"/>
        </w:rPr>
        <w:t xml:space="preserve">5. Mutualisation complète de la logique métier</w:t>
      </w:r>
    </w:p>
    <w:p>
      <w:pPr>
        <w:spacing w:after="110"/>
      </w:pPr>
      <w:r>
        <w:rPr>
          <w:color w:val="222222"/>
          <w:sz w:val="21"/>
          <w:szCs w:val="21"/>
        </w:rPr>
        <w:t xml:space="preserve">La logique de traitement d'un événement (création ou mise à jour d'un objet cible, gestion des rattachements associés) n'existe qu'à un seul endroit, appelée indifféremment par l'ancien et le nouveau point d'entrée pendant la période de coexistence. Aucune duplication de logique métier n'est tolérée entre les deux mécanismes.</w:t>
      </w:r>
    </w:p>
    <w:p>
      <w:pPr>
        <w:pStyle w:val="Heading2"/>
        <w:spacing w:after="110" w:before="240"/>
      </w:pPr>
      <w:r>
        <w:rPr>
          <w:b/>
          <w:bCs/>
          <w:color w:val="222222"/>
          <w:sz w:val="22"/>
          <w:szCs w:val="22"/>
        </w:rPr>
        <w:t xml:space="preserve">6. Idempotence — vérification formelle avant mise en production</w:t>
      </w:r>
    </w:p>
    <w:p>
      <w:pPr>
        <w:spacing w:after="110"/>
      </w:pPr>
      <w:r>
        <w:rPr>
          <w:color w:val="222222"/>
          <w:sz w:val="21"/>
          <w:szCs w:val="21"/>
        </w:rPr>
        <w:t xml:space="preserve">L'idempotence du bus doit être vérifiée et documentée avant toute mise en production, au moyen de deux fiches GAF distinctes :</w:t>
      </w:r>
    </w:p>
    <w:p>
      <w:pPr>
        <w:pStyle w:val="ListParagraph"/>
        <w:numPr>
          <w:ilvl w:val="0"/>
          <w:numId w:val="1"/>
        </w:numPr>
        <w:spacing w:after="55"/>
      </w:pPr>
      <w:r>
        <w:rPr>
          <w:color w:val="222222"/>
          <w:sz w:val="21"/>
          <w:szCs w:val="21"/>
        </w:rPr>
        <w:t xml:space="preserve">Une fiche intermédiaire, produite dès l'engagement de cette architecture, formalisant les exigences à satisfaire : contraintes d'unicité, comportement au rejeu d'un événement, protection contre la double émission, comportement en traitement concurrent.</w:t>
      </w:r>
    </w:p>
    <w:p>
      <w:pPr>
        <w:pStyle w:val="ListParagraph"/>
        <w:numPr>
          <w:ilvl w:val="0"/>
          <w:numId w:val="1"/>
        </w:numPr>
        <w:spacing w:after="55"/>
      </w:pPr>
      <w:r>
        <w:rPr>
          <w:color w:val="222222"/>
          <w:sz w:val="21"/>
          <w:szCs w:val="21"/>
        </w:rPr>
        <w:t xml:space="preserve">Une fiche finale, produite avant la Phase 6 du plan de migration, confirmant que chacune de ces exigences est effectivement vérifiée sur le mécanisme généralisé.</w:t>
      </w:r>
    </w:p>
    <w:p>
      <w:pPr>
        <w:pStyle w:val="Heading2"/>
        <w:spacing w:after="110" w:before="240"/>
      </w:pPr>
      <w:r>
        <w:rPr>
          <w:b/>
          <w:bCs/>
          <w:color w:val="222222"/>
          <w:sz w:val="22"/>
          <w:szCs w:val="22"/>
        </w:rPr>
        <w:t xml:space="preserve">7. Auditabilité</w:t>
      </w:r>
    </w:p>
    <w:p>
      <w:pPr>
        <w:spacing w:after="110"/>
      </w:pPr>
      <w:r>
        <w:rPr>
          <w:color w:val="222222"/>
          <w:sz w:val="21"/>
          <w:szCs w:val="21"/>
        </w:rPr>
        <w:t xml:space="preserve">Chaque événement du bus reste identifiable, traçable, rejouable si nécessaire, historisable et auditable — principe fondateur déjà porté par le schéma de l'ADR-003 (payload, hash d'intégrité, horodatages de création/validation/propagation, statut, détail d'erreur). Aucune évolution future du bus ne doit affaiblir ces garanties.</w:t>
      </w:r>
    </w:p>
    <w:p>
      <w:pPr>
        <w:pStyle w:val="Heading2"/>
        <w:spacing w:after="110" w:before="240"/>
      </w:pPr>
      <w:r>
        <w:rPr>
          <w:b/>
          <w:bCs/>
          <w:color w:val="222222"/>
          <w:sz w:val="22"/>
          <w:szCs w:val="22"/>
        </w:rPr>
        <w:t xml:space="preserve">8. Une fondation, pas un système réservé aux identités</w:t>
      </w:r>
    </w:p>
    <w:p>
      <w:pPr>
        <w:spacing w:after="110"/>
      </w:pPr>
      <w:r>
        <w:rPr>
          <w:color w:val="222222"/>
          <w:sz w:val="21"/>
          <w:szCs w:val="21"/>
        </w:rPr>
        <w:t xml:space="preserve">Cette étape n'a pas vocation à rester circonscrite à la gestion des affiliations. Elle constitue la fondation du futur mécanisme de propagation de l'ensemble des actifs gouvernés de l'Observatoire.</w:t>
      </w:r>
    </w:p>
    <w:p>
      <w:pPr>
        <w:pStyle w:val="Heading2"/>
        <w:spacing w:after="110" w:before="240"/>
      </w:pPr>
      <w:r>
        <w:rPr>
          <w:b/>
          <w:bCs/>
          <w:color w:val="222222"/>
          <w:sz w:val="22"/>
          <w:szCs w:val="22"/>
        </w:rPr>
        <w:t xml:space="preserve">9. Documentation — rien ne doit rester implicite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200"/>
        <w:gridCol w:w="4200"/>
      </w:tblGrid>
      <w:tr>
        <w:tc>
          <w:tcPr>
            <w:tcW w:type="dxa" w:w="5200"/>
            <w:shd w:fill="1A6B2A" w:val="clear"/>
            <w:tcMar>
              <w:top w:type="dxa" w:w="80"/>
              <w:left w:type="dxa" w:w="100"/>
              <w:bottom w:type="dxa" w:w="80"/>
              <w:right w:type="dxa" w:w="100"/>
            </w:tcMar>
          </w:tcPr>
          <w:p>
            <w:r>
              <w:rPr>
                <w:b/>
                <w:bCs/>
                <w:color w:val="FFFFFF"/>
                <w:sz w:val="19"/>
                <w:szCs w:val="19"/>
              </w:rPr>
              <w:t xml:space="preserve">Livrable</w:t>
            </w:r>
          </w:p>
        </w:tc>
        <w:tc>
          <w:tcPr>
            <w:tcW w:type="dxa" w:w="4200"/>
            <w:shd w:fill="1A6B2A" w:val="clear"/>
            <w:tcMar>
              <w:top w:type="dxa" w:w="80"/>
              <w:left w:type="dxa" w:w="100"/>
              <w:bottom w:type="dxa" w:w="80"/>
              <w:right w:type="dxa" w:w="100"/>
            </w:tcMar>
          </w:tcPr>
          <w:p>
            <w:r>
              <w:rPr>
                <w:b/>
                <w:bCs/>
                <w:color w:val="FFFFFF"/>
                <w:sz w:val="19"/>
                <w:szCs w:val="19"/>
              </w:rPr>
              <w:t xml:space="preserve">Statut</w:t>
            </w:r>
          </w:p>
        </w:tc>
      </w:tr>
      <w:tr>
        <w:tc>
          <w:tcPr>
            <w:tcW w:type="dxa" w:w="5200"/>
            <w:tcMar>
              <w:top w:type="dxa" w:w="80"/>
              <w:left w:type="dxa" w:w="100"/>
              <w:bottom w:type="dxa" w:w="80"/>
              <w:right w:type="dxa" w:w="100"/>
            </w:tcMar>
          </w:tcPr>
          <w:p>
            <w:r>
              <w:rPr>
                <w:b w:val="false"/>
                <w:bCs w:val="false"/>
                <w:color w:val="222222"/>
                <w:sz w:val="19"/>
                <w:szCs w:val="19"/>
              </w:rPr>
              <w:t xml:space="preserve">ADR-003 (architecture générique, plan de migration)</w:t>
            </w:r>
          </w:p>
        </w:tc>
        <w:tc>
          <w:tcPr>
            <w:tcW w:type="dxa" w:w="4200"/>
            <w:tcMar>
              <w:top w:type="dxa" w:w="80"/>
              <w:left w:type="dxa" w:w="100"/>
              <w:bottom w:type="dxa" w:w="80"/>
              <w:right w:type="dxa" w:w="100"/>
            </w:tcMar>
          </w:tcPr>
          <w:p>
            <w:r>
              <w:rPr>
                <w:b w:val="false"/>
                <w:bCs w:val="false"/>
                <w:color w:val="222222"/>
                <w:sz w:val="19"/>
                <w:szCs w:val="19"/>
              </w:rPr>
              <w:t xml:space="preserve">Livré</w:t>
            </w:r>
          </w:p>
        </w:tc>
      </w:tr>
      <w:tr>
        <w:tc>
          <w:tcPr>
            <w:tcW w:type="dxa" w:w="5200"/>
            <w:shd w:fill="F2F2F2" w:val="clear"/>
            <w:tcMar>
              <w:top w:type="dxa" w:w="80"/>
              <w:left w:type="dxa" w:w="100"/>
              <w:bottom w:type="dxa" w:w="80"/>
              <w:right w:type="dxa" w:w="100"/>
            </w:tcMar>
          </w:tcPr>
          <w:p>
            <w:r>
              <w:rPr>
                <w:b w:val="false"/>
                <w:bCs w:val="false"/>
                <w:color w:val="222222"/>
                <w:sz w:val="19"/>
                <w:szCs w:val="19"/>
              </w:rPr>
              <w:t xml:space="preserve">ADR-004 (présent document — bus de gouvernance)</w:t>
            </w:r>
          </w:p>
        </w:tc>
        <w:tc>
          <w:tcPr>
            <w:tcW w:type="dxa" w:w="4200"/>
            <w:shd w:fill="F2F2F2" w:val="clear"/>
            <w:tcMar>
              <w:top w:type="dxa" w:w="80"/>
              <w:left w:type="dxa" w:w="100"/>
              <w:bottom w:type="dxa" w:w="80"/>
              <w:right w:type="dxa" w:w="100"/>
            </w:tcMar>
          </w:tcPr>
          <w:p>
            <w:r>
              <w:rPr>
                <w:b w:val="false"/>
                <w:bCs w:val="false"/>
                <w:color w:val="222222"/>
                <w:sz w:val="19"/>
                <w:szCs w:val="19"/>
              </w:rPr>
              <w:t xml:space="preserve">Livré</w:t>
            </w:r>
          </w:p>
        </w:tc>
      </w:tr>
      <w:tr>
        <w:tc>
          <w:tcPr>
            <w:tcW w:type="dxa" w:w="5200"/>
            <w:tcMar>
              <w:top w:type="dxa" w:w="80"/>
              <w:left w:type="dxa" w:w="100"/>
              <w:bottom w:type="dxa" w:w="80"/>
              <w:right w:type="dxa" w:w="100"/>
            </w:tcMar>
          </w:tcPr>
          <w:p>
            <w:r>
              <w:rPr>
                <w:b w:val="false"/>
                <w:bCs w:val="false"/>
                <w:color w:val="222222"/>
                <w:sz w:val="19"/>
                <w:szCs w:val="19"/>
              </w:rPr>
              <w:t xml:space="preserve">GAF idempotence — fiche intermédiaire (exigences)</w:t>
            </w:r>
          </w:p>
        </w:tc>
        <w:tc>
          <w:tcPr>
            <w:tcW w:type="dxa" w:w="4200"/>
            <w:tcMar>
              <w:top w:type="dxa" w:w="80"/>
              <w:left w:type="dxa" w:w="100"/>
              <w:bottom w:type="dxa" w:w="80"/>
              <w:right w:type="dxa" w:w="100"/>
            </w:tcMar>
          </w:tcPr>
          <w:p>
            <w:r>
              <w:rPr>
                <w:b w:val="false"/>
                <w:bCs w:val="false"/>
                <w:color w:val="222222"/>
                <w:sz w:val="19"/>
                <w:szCs w:val="19"/>
              </w:rPr>
              <w:t xml:space="preserve">À produire immédiatement après ce document</w:t>
            </w:r>
          </w:p>
        </w:tc>
      </w:tr>
      <w:tr>
        <w:tc>
          <w:tcPr>
            <w:tcW w:type="dxa" w:w="5200"/>
            <w:shd w:fill="F2F2F2" w:val="clear"/>
            <w:tcMar>
              <w:top w:type="dxa" w:w="80"/>
              <w:left w:type="dxa" w:w="100"/>
              <w:bottom w:type="dxa" w:w="80"/>
              <w:right w:type="dxa" w:w="100"/>
            </w:tcMar>
          </w:tcPr>
          <w:p>
            <w:r>
              <w:rPr>
                <w:b w:val="false"/>
                <w:bCs w:val="false"/>
                <w:color w:val="222222"/>
                <w:sz w:val="19"/>
                <w:szCs w:val="19"/>
              </w:rPr>
              <w:t xml:space="preserve">GAF idempotence — fiche finale (vérification)</w:t>
            </w:r>
          </w:p>
        </w:tc>
        <w:tc>
          <w:tcPr>
            <w:tcW w:type="dxa" w:w="4200"/>
            <w:shd w:fill="F2F2F2" w:val="clear"/>
            <w:tcMar>
              <w:top w:type="dxa" w:w="80"/>
              <w:left w:type="dxa" w:w="100"/>
              <w:bottom w:type="dxa" w:w="80"/>
              <w:right w:type="dxa" w:w="100"/>
            </w:tcMar>
          </w:tcPr>
          <w:p>
            <w:r>
              <w:rPr>
                <w:b w:val="false"/>
                <w:bCs w:val="false"/>
                <w:color w:val="222222"/>
                <w:sz w:val="19"/>
                <w:szCs w:val="19"/>
              </w:rPr>
              <w:t xml:space="preserve">À produire avant la Phase 6</w:t>
            </w:r>
          </w:p>
        </w:tc>
      </w:tr>
      <w:tr>
        <w:tc>
          <w:tcPr>
            <w:tcW w:type="dxa" w:w="5200"/>
            <w:tcMar>
              <w:top w:type="dxa" w:w="80"/>
              <w:left w:type="dxa" w:w="100"/>
              <w:bottom w:type="dxa" w:w="80"/>
              <w:right w:type="dxa" w:w="100"/>
            </w:tcMar>
          </w:tcPr>
          <w:p>
            <w:r>
              <w:rPr>
                <w:b w:val="false"/>
                <w:bCs w:val="false"/>
                <w:color w:val="222222"/>
                <w:sz w:val="19"/>
                <w:szCs w:val="19"/>
              </w:rPr>
              <w:t xml:space="preserve">GAF de fermeture de l'ancien mécanisme</w:t>
            </w:r>
          </w:p>
        </w:tc>
        <w:tc>
          <w:tcPr>
            <w:tcW w:type="dxa" w:w="4200"/>
            <w:tcMar>
              <w:top w:type="dxa" w:w="80"/>
              <w:left w:type="dxa" w:w="100"/>
              <w:bottom w:type="dxa" w:w="80"/>
              <w:right w:type="dxa" w:w="100"/>
            </w:tcMar>
          </w:tcPr>
          <w:p>
            <w:r>
              <w:rPr>
                <w:b w:val="false"/>
                <w:bCs w:val="false"/>
                <w:color w:val="222222"/>
                <w:sz w:val="19"/>
                <w:szCs w:val="19"/>
              </w:rPr>
              <w:t xml:space="preserve">À produire à la Phase 6</w:t>
            </w:r>
          </w:p>
        </w:tc>
      </w:tr>
      <w:tr>
        <w:tc>
          <w:tcPr>
            <w:tcW w:type="dxa" w:w="5200"/>
            <w:shd w:fill="F2F2F2" w:val="clear"/>
            <w:tcMar>
              <w:top w:type="dxa" w:w="80"/>
              <w:left w:type="dxa" w:w="100"/>
              <w:bottom w:type="dxa" w:w="80"/>
              <w:right w:type="dxa" w:w="100"/>
            </w:tcMar>
          </w:tcPr>
          <w:p>
            <w:r>
              <w:rPr>
                <w:b w:val="false"/>
                <w:bCs w:val="false"/>
                <w:color w:val="222222"/>
                <w:sz w:val="19"/>
                <w:szCs w:val="19"/>
              </w:rPr>
              <w:t xml:space="preserve">Documentation API (nouvel endpoint générique)</w:t>
            </w:r>
          </w:p>
        </w:tc>
        <w:tc>
          <w:tcPr>
            <w:tcW w:type="dxa" w:w="4200"/>
            <w:shd w:fill="F2F2F2" w:val="clear"/>
            <w:tcMar>
              <w:top w:type="dxa" w:w="80"/>
              <w:left w:type="dxa" w:w="100"/>
              <w:bottom w:type="dxa" w:w="80"/>
              <w:right w:type="dxa" w:w="100"/>
            </w:tcMar>
          </w:tcPr>
          <w:p>
            <w:r>
              <w:rPr>
                <w:b w:val="false"/>
                <w:bCs w:val="false"/>
                <w:color w:val="222222"/>
                <w:sz w:val="19"/>
                <w:szCs w:val="19"/>
              </w:rPr>
              <w:t xml:space="preserve">À produire durant l'implémentation</w:t>
            </w:r>
          </w:p>
        </w:tc>
      </w:tr>
      <w:tr>
        <w:tc>
          <w:tcPr>
            <w:tcW w:type="dxa" w:w="5200"/>
            <w:tcMar>
              <w:top w:type="dxa" w:w="80"/>
              <w:left w:type="dxa" w:w="100"/>
              <w:bottom w:type="dxa" w:w="80"/>
              <w:right w:type="dxa" w:w="100"/>
            </w:tcMar>
          </w:tcPr>
          <w:p>
            <w:r>
              <w:rPr>
                <w:b w:val="false"/>
                <w:bCs w:val="false"/>
                <w:color w:val="222222"/>
                <w:sz w:val="19"/>
                <w:szCs w:val="19"/>
              </w:rPr>
              <w:t xml:space="preserve">Documentation OKGR</w:t>
            </w:r>
          </w:p>
        </w:tc>
        <w:tc>
          <w:tcPr>
            <w:tcW w:type="dxa" w:w="4200"/>
            <w:tcMar>
              <w:top w:type="dxa" w:w="80"/>
              <w:left w:type="dxa" w:w="100"/>
              <w:bottom w:type="dxa" w:w="80"/>
              <w:right w:type="dxa" w:w="100"/>
            </w:tcMar>
          </w:tcPr>
          <w:p>
            <w:r>
              <w:rPr>
                <w:b w:val="false"/>
                <w:bCs w:val="false"/>
                <w:color w:val="222222"/>
                <w:sz w:val="19"/>
                <w:szCs w:val="19"/>
              </w:rPr>
              <w:t xml:space="preserve">Portée et contenu à préciser — non couvert par le présent document</w:t>
            </w:r>
          </w:p>
        </w:tc>
      </w:tr>
      <w:tr>
        <w:tc>
          <w:tcPr>
            <w:tcW w:type="dxa" w:w="5200"/>
            <w:shd w:fill="F2F2F2" w:val="clear"/>
            <w:tcMar>
              <w:top w:type="dxa" w:w="80"/>
              <w:left w:type="dxa" w:w="100"/>
              <w:bottom w:type="dxa" w:w="80"/>
              <w:right w:type="dxa" w:w="100"/>
            </w:tcMar>
          </w:tcPr>
          <w:p>
            <w:r>
              <w:rPr>
                <w:b w:val="false"/>
                <w:bCs w:val="false"/>
                <w:color w:val="222222"/>
                <w:sz w:val="19"/>
                <w:szCs w:val="19"/>
              </w:rPr>
              <w:t xml:space="preserve">Schéma d'architecture du bus</w:t>
            </w:r>
          </w:p>
        </w:tc>
        <w:tc>
          <w:tcPr>
            <w:tcW w:type="dxa" w:w="4200"/>
            <w:shd w:fill="F2F2F2" w:val="clear"/>
            <w:tcMar>
              <w:top w:type="dxa" w:w="80"/>
              <w:left w:type="dxa" w:w="100"/>
              <w:bottom w:type="dxa" w:w="80"/>
              <w:right w:type="dxa" w:w="100"/>
            </w:tcMar>
          </w:tcPr>
          <w:p>
            <w:r>
              <w:rPr>
                <w:b w:val="false"/>
                <w:bCs w:val="false"/>
                <w:color w:val="222222"/>
                <w:sz w:val="19"/>
                <w:szCs w:val="19"/>
              </w:rPr>
              <w:t xml:space="preserve">Ébauche ci-dessous — version détaillée à produire durant l'implémentation</w:t>
            </w:r>
          </w:p>
        </w:tc>
      </w:tr>
    </w:tbl>
    <w:p>
      <w:r>
        <w:br w:type="page"/>
      </w:r>
    </w:p>
    <w:p>
      <w:pPr>
        <w:pStyle w:val="Heading1"/>
        <w:pBdr>
          <w:bottom w:val="single" w:color="1A6B2A" w:sz="6" w:space="4"/>
        </w:pBdr>
        <w:spacing w:after="190" w:before="380"/>
      </w:pPr>
      <w:r>
        <w:rPr>
          <w:b/>
          <w:bCs/>
          <w:color w:val="1A6B2A"/>
          <w:sz w:val="27"/>
          <w:szCs w:val="27"/>
        </w:rPr>
        <w:t xml:space="preserve">Schéma d'architecture (ébauche)</w:t>
      </w:r>
    </w:p>
    <w:p>
      <w:pPr>
        <w:shd w:fill="F2F2F2" w:val="clear"/>
        <w:spacing w:after="200" w:before="100"/>
      </w:pPr>
      <w:r>
        <w:rPr>
          <w:rFonts w:ascii="Consolas" w:cs="Consolas" w:eastAsia="Consolas" w:hAnsi="Consolas"/>
          <w:color w:val="222222"/>
          <w:sz w:val="18"/>
          <w:szCs w:val="18"/>
        </w:rPr>
        <w:t xml:space="preserve">Décision métier validée (cooptation, KYC, futur : décision GAF, publication, produit...)
        ↓
api/services/governance_events.py   [émission -- domain_code, event_type, object_type, object_uuid, payload]
        ↓
mg.governance_events   [journal -- PREPROD, statut PENDING]
        ↓
governance_synchronizer.py   [scrutation -- PENDING + FAILED]
        ↓
POST /api/v1/sync/apply-event   [PROD -- domain_code au premier plan]
        ↓
Logique métier mutualisée   [un seul point de vérité, quel que soit le point d'entrée appelant]
        ↓
Objet créé/mis à jour en PROD, statut PROPAGATED, historique auditable</w:t>
      </w:r>
    </w:p>
    <w:p>
      <w:pPr>
        <w:spacing w:after="110"/>
      </w:pPr>
      <w:r>
        <w:rPr>
          <w:i/>
          <w:iCs/>
          <w:color w:val="222222"/>
          <w:sz w:val="21"/>
          <w:szCs w:val="21"/>
        </w:rPr>
        <w:t xml:space="preserve">Pendant la période de coexistence, l'ancien chemin (mg.identity_events → identity_synchronizer.py → /api/v1/affiliation/sync/apply-event) continue de fonctionner en parallèle, sans écriture nouvelle une fois la bascule du domaine IDENTITY effectuée — la logique métier qu'il appelle est la même que celle appelée par le nouveau chemin, jamais dupliquée.</w:t>
      </w:r>
    </w:p>
    <w:p>
      <w:pPr>
        <w:pStyle w:val="Heading1"/>
        <w:pBdr>
          <w:bottom w:val="single" w:color="1A6B2A" w:sz="6" w:space="4"/>
        </w:pBdr>
        <w:spacing w:after="190" w:before="380"/>
      </w:pPr>
      <w:r>
        <w:rPr>
          <w:b/>
          <w:bCs/>
          <w:color w:val="1A6B2A"/>
          <w:sz w:val="27"/>
          <w:szCs w:val="27"/>
        </w:rPr>
        <w:t xml:space="preserve">Décision finale</w:t>
      </w:r>
    </w:p>
    <w:p>
      <w:pPr>
        <w:spacing w:after="110"/>
      </w:pPr>
      <w:r>
        <w:rPr>
          <w:color w:val="222222"/>
          <w:sz w:val="21"/>
          <w:szCs w:val="21"/>
        </w:rPr>
        <w:t xml:space="preserve">L'OSA Observatory ne construit pas un synchroniseur d'identités généralisé. Il construit le premier composant de son système de gouvernance événementielle — un bus générique, extensible sans modification d'API, mutualisant sa logique métier, vérifié pour son idempotence avant mise en production, et documenté sans qu'aucune évolution de gouvernance ne reste implicite. L'identité en est le premier domaine branché, pas la définition.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OSA Observatory — ADR-004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2026-07-14T11:05:43.416Z</dcterms:created>
  <dcterms:modified xsi:type="dcterms:W3CDTF">2026-07-14T11:05:43.437Z</dcterms:modified>
</cp:coreProperties>
</file>

<file path=docProps/custom.xml><?xml version="1.0" encoding="utf-8"?>
<Properties xmlns="http://schemas.openxmlformats.org/officeDocument/2006/custom-properties" xmlns:vt="http://schemas.openxmlformats.org/officeDocument/2006/docPropsVTypes"/>
</file>