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40"/>
              <w:left w:type="dxa" w:w="360"/>
              <w:bottom w:type="dxa" w:w="240"/>
              <w:right w:type="dxa" w:w="360"/>
            </w:tcMar>
          </w:tcPr>
          <w:p>
            <w:pPr>
              <w:jc w:val="center"/>
            </w:pPr>
            <w:r>
              <w:rPr>
                <w:rFonts w:ascii="Arial" w:cs="Arial" w:eastAsia="Arial" w:hAnsi="Arial"/>
                <w:b/>
                <w:bCs/>
                <w:color w:val="FFFFFF"/>
                <w:sz w:val="28"/>
                <w:szCs w:val="28"/>
              </w:rPr>
              <w:t xml:space="preserve">OBSERVATOIRE DE LA SOUVERAINETÉ AFRICAINE</w:t>
            </w:r>
          </w:p>
          <w:p>
            <w:pPr>
              <w:jc w:val="center"/>
            </w:pPr>
            <w:r>
              <w:rPr>
                <w:rFonts w:ascii="Arial" w:cs="Arial" w:eastAsia="Arial" w:hAnsi="Arial"/>
                <w:b/>
                <w:bCs/>
                <w:color w:val="FFFFFF"/>
                <w:sz w:val="40"/>
                <w:szCs w:val="40"/>
              </w:rPr>
              <w:t xml:space="preserve">RECOMMANDATIONS MONTE CARLO ISA v2</w:t>
            </w:r>
          </w:p>
          <w:p>
            <w:pPr>
              <w:jc w:val="center"/>
            </w:pPr>
            <w:r>
              <w:rPr>
                <w:rFonts w:ascii="Arial" w:cs="Arial" w:eastAsia="Arial" w:hAnsi="Arial"/>
                <w:i/>
                <w:iCs/>
                <w:color w:val="BDD7EE"/>
                <w:sz w:val="22"/>
                <w:szCs w:val="22"/>
              </w:rPr>
              <w:t xml:space="preserve">À l’usage du Conseil scientifique panafricain — Année de référence 2022 — 10 000 simulations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2EFDA" w:val="clear"/>
            <w:tcMar>
              <w:top w:type="dxa" w:w="120"/>
              <w:left w:type="dxa" w:w="120"/>
              <w:bottom w:type="dxa" w:w="120"/>
              <w:right w:type="dxa" w:w="120"/>
            </w:tcMar>
          </w:tcPr>
          <w:p>
            <w:pPr>
              <w:jc w:val="center"/>
            </w:pPr>
            <w:r>
              <w:rPr>
                <w:rFonts w:ascii="Arial" w:cs="Arial" w:eastAsia="Arial" w:hAnsi="Arial"/>
                <w:b/>
                <w:bCs/>
                <w:color w:val="375623"/>
                <w:sz w:val="20"/>
                <w:szCs w:val="20"/>
              </w:rPr>
              <w:t xml:space="preserve">D1 — Poids piliers</w:t>
            </w:r>
          </w:p>
          <w:p>
            <w:pPr>
              <w:jc w:val="center"/>
            </w:pPr>
            <w:r>
              <w:rPr>
                <w:rFonts w:ascii="Arial" w:cs="Arial" w:eastAsia="Arial" w:hAnsi="Arial"/>
                <w:b/>
                <w:bCs/>
                <w:color w:val="375623"/>
                <w:sz w:val="22"/>
                <w:szCs w:val="22"/>
              </w:rPr>
              <w:t xml:space="preserve">MODEREMENT ROBUSTE</w:t>
            </w:r>
          </w:p>
          <w:p>
            <w:pPr>
              <w:jc w:val="center"/>
            </w:pPr>
            <w:r>
              <w:rPr>
                <w:rFonts w:ascii="Arial" w:cs="Arial" w:eastAsia="Arial" w:hAnsi="Arial"/>
                <w:color w:val="375623"/>
                <w:sz w:val="20"/>
                <w:szCs w:val="20"/>
              </w:rPr>
              <w:t xml:space="preserve">robustesse = 0.847</w:t>
            </w:r>
          </w:p>
        </w:tc>
        <w:tc>
          <w:tcPr>
            <w:tcW w:type="dxa" w:w="3120"/>
            <w:tcBorders>
              <w:top w:val="single" w:color="CCCCCC" w:sz="1"/>
              <w:left w:val="single" w:color="CCCCCC" w:sz="1"/>
              <w:bottom w:val="single" w:color="CCCCCC" w:sz="1"/>
              <w:right w:val="single" w:color="CCCCCC" w:sz="1"/>
            </w:tcBorders>
            <w:shd w:fill="E2EFDA" w:val="clear"/>
            <w:tcMar>
              <w:top w:type="dxa" w:w="120"/>
              <w:left w:type="dxa" w:w="120"/>
              <w:bottom w:type="dxa" w:w="120"/>
              <w:right w:type="dxa" w:w="120"/>
            </w:tcMar>
          </w:tcPr>
          <w:p>
            <w:pPr>
              <w:jc w:val="center"/>
            </w:pPr>
            <w:r>
              <w:rPr>
                <w:rFonts w:ascii="Arial" w:cs="Arial" w:eastAsia="Arial" w:hAnsi="Arial"/>
                <w:b/>
                <w:bCs/>
                <w:color w:val="375623"/>
                <w:sz w:val="20"/>
                <w:szCs w:val="20"/>
              </w:rPr>
              <w:t xml:space="preserve">D2 — Poids sémantiques</w:t>
            </w:r>
          </w:p>
          <w:p>
            <w:pPr>
              <w:jc w:val="center"/>
            </w:pPr>
            <w:r>
              <w:rPr>
                <w:rFonts w:ascii="Arial" w:cs="Arial" w:eastAsia="Arial" w:hAnsi="Arial"/>
                <w:b/>
                <w:bCs/>
                <w:color w:val="375623"/>
                <w:sz w:val="22"/>
                <w:szCs w:val="22"/>
              </w:rPr>
              <w:t xml:space="preserve">ROBUSTE</w:t>
            </w:r>
          </w:p>
          <w:p>
            <w:pPr>
              <w:jc w:val="center"/>
            </w:pPr>
            <w:r>
              <w:rPr>
                <w:rFonts w:ascii="Arial" w:cs="Arial" w:eastAsia="Arial" w:hAnsi="Arial"/>
                <w:color w:val="375623"/>
                <w:sz w:val="20"/>
                <w:szCs w:val="20"/>
              </w:rPr>
              <w:t xml:space="preserve">robustesse = 0.959</w:t>
            </w:r>
          </w:p>
        </w:tc>
        <w:tc>
          <w:tcPr>
            <w:tcW w:type="dxa" w:w="3120"/>
            <w:tcBorders>
              <w:top w:val="single" w:color="CCCCCC" w:sz="1"/>
              <w:left w:val="single" w:color="CCCCCC" w:sz="1"/>
              <w:bottom w:val="single" w:color="CCCCCC" w:sz="1"/>
              <w:right w:val="single" w:color="CCCCCC" w:sz="1"/>
            </w:tcBorders>
            <w:shd w:fill="FFF2CC" w:val="clear"/>
            <w:tcMar>
              <w:top w:type="dxa" w:w="120"/>
              <w:left w:type="dxa" w:w="120"/>
              <w:bottom w:type="dxa" w:w="120"/>
              <w:right w:type="dxa" w:w="120"/>
            </w:tcMar>
          </w:tcPr>
          <w:p>
            <w:pPr>
              <w:jc w:val="center"/>
            </w:pPr>
            <w:r>
              <w:rPr>
                <w:rFonts w:ascii="Arial" w:cs="Arial" w:eastAsia="Arial" w:hAnsi="Arial"/>
                <w:b/>
                <w:bCs/>
                <w:color w:val="7F6000"/>
                <w:sz w:val="20"/>
                <w:szCs w:val="20"/>
              </w:rPr>
              <w:t xml:space="preserve">D3 — Incertitude imputation</w:t>
            </w:r>
          </w:p>
          <w:p>
            <w:pPr>
              <w:jc w:val="center"/>
            </w:pPr>
            <w:r>
              <w:rPr>
                <w:rFonts w:ascii="Arial" w:cs="Arial" w:eastAsia="Arial" w:hAnsi="Arial"/>
                <w:b/>
                <w:bCs/>
                <w:color w:val="7F6000"/>
                <w:sz w:val="22"/>
                <w:szCs w:val="22"/>
              </w:rPr>
              <w:t xml:space="preserve">MODEREMENT ROBUSTE</w:t>
            </w:r>
          </w:p>
          <w:p>
            <w:pPr>
              <w:jc w:val="center"/>
            </w:pPr>
            <w:r>
              <w:rPr>
                <w:rFonts w:ascii="Arial" w:cs="Arial" w:eastAsia="Arial" w:hAnsi="Arial"/>
                <w:color w:val="7F6000"/>
                <w:sz w:val="20"/>
                <w:szCs w:val="20"/>
              </w:rPr>
              <w:t xml:space="preserve">robustesse = 0.805</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40"/>
              <w:bottom w:type="dxa" w:w="120"/>
              <w:right w:type="dxa" w:w="240"/>
            </w:tcMar>
          </w:tcPr>
          <w:p>
            <w:pPr>
              <w:jc w:val="center"/>
            </w:pPr>
            <w:r>
              <w:rPr>
                <w:rFonts w:ascii="Arial" w:cs="Arial" w:eastAsia="Arial" w:hAnsi="Arial"/>
                <w:b/>
                <w:bCs/>
                <w:color w:val="375623"/>
                <w:sz w:val="22"/>
                <w:szCs w:val="22"/>
              </w:rPr>
              <w:t xml:space="preserve">✅  Robustesse globale : 0.870 — Pondération égale certifiable devant le Conseil scientifique</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Contexte et méthodologie</w:t>
      </w:r>
    </w:p>
    <w:p>
      <w:pPr>
        <w:spacing w:after="80" w:before="80"/>
        <w:jc w:val="both"/>
      </w:pPr>
      <w:r>
        <w:rPr>
          <w:rFonts w:ascii="Arial" w:cs="Arial" w:eastAsia="Arial" w:hAnsi="Arial"/>
          <w:b w:val="false"/>
          <w:bCs w:val="false"/>
          <w:i w:val="false"/>
          <w:iCs w:val="false"/>
          <w:color w:val="000000"/>
          <w:sz w:val="22"/>
          <w:szCs w:val="22"/>
        </w:rPr>
        <w:t xml:space="preserve">L’analyse Monte Carlo ISA v2 a été conduite sur l’année de référence 2022 — pipeline validé, distribution AMAR propre, 54 pays couverts sur 10 piliers. Trois dimensions d’analyse ont été simulées à 10 000 itérations chacune avec une graine aléatoire fixe (seed=42) pour garantir la reproductibilité.</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360"/>
        <w:gridCol w:w="18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Dimension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Principe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Paramètres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Métrique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D1 — Poids piliers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Variation des 10 poids piliers par distribution de Dirichlet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Concentration = 10 → variation modérée autour de 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Ecart-type scores + % changement quintile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D2 — Poids sémantiques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Perturbation des poids sémantiques par distribution uniforme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Variation ±20 % autour des valeurs doctrinales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Ecart-type scores ISA pays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D3 — Imputation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Bruit gaussien proportionnel à l’incertitude d’imputation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σ = (1 − confidence_score) × score_pilier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Amplitude IC90 [P5–P95]</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r>
              <w:rPr>
                <w:rFonts w:ascii="Arial" w:cs="Arial" w:eastAsia="Arial" w:hAnsi="Arial"/>
                <w:b/>
                <w:bCs/>
                <w:color w:val="FFFFFF"/>
                <w:sz w:val="32"/>
                <w:szCs w:val="32"/>
              </w:rPr>
              <w:t xml:space="preserve">RECOMMANDATION 1 — Certifier la pondération égale provisoire</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Analyse 5W1H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WHAT — Quoi</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Certifier formellement que la pondération égale (0,10 par pilier) est la référence méthodologique officielle pour la publication ISA de septembre 2027.</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WHO — Qui</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Conseil scientifique panafricain — vote à majorité qualifiée (2/3) requis selon la Charte de neutralité scientifique.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WHEN — Quand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Session de certification — juin 2027, avant le lancement officiel du 3 septembre 2027.</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WHERE — Où</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Session plénière du Conseil — en présentiel recommandé pour la première certification officielle ISA.</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WHY — Pourquoi</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Sans certification formelle, toute contestation externe d’un gouvernement africain sur les pondérations fragilise la publication. La certification transforme un choix technique en décision académique validée et opposable.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HOW — Comment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Présentation du rapport Monte Carlo complet + débat sur les cas SYC et pays atypiques + vote formel + signature du certificat ISA_P7E_V1.</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Analyse SWOT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r>
              <w:rPr>
                <w:rFonts w:ascii="Arial" w:cs="Arial" w:eastAsia="Arial" w:hAnsi="Arial"/>
                <w:b/>
                <w:bCs/>
                <w:color w:val="375623"/>
                <w:sz w:val="20"/>
                <w:szCs w:val="20"/>
              </w:rPr>
              <w:t xml:space="preserve">Forces</w:t>
            </w:r>
          </w:p>
          <w:p>
            <w:pPr>
              <w:spacing w:before="40"/>
            </w:pPr>
            <w:r>
              <w:rPr>
                <w:rFonts w:ascii="Arial" w:cs="Arial" w:eastAsia="Arial" w:hAnsi="Arial"/>
                <w:color w:val="375623"/>
                <w:sz w:val="20"/>
                <w:szCs w:val="20"/>
              </w:rPr>
              <w:t xml:space="preserve">•  </w:t>
            </w:r>
            <w:r>
              <w:rPr>
                <w:rFonts w:ascii="Arial" w:cs="Arial" w:eastAsia="Arial" w:hAnsi="Arial"/>
                <w:sz w:val="20"/>
                <w:szCs w:val="20"/>
              </w:rPr>
              <w:t xml:space="preserve">Robustesse prouvée par Monte Carlo (0,847)</w:t>
            </w:r>
          </w:p>
          <w:p>
            <w:pPr>
              <w:spacing w:before="40"/>
            </w:pPr>
            <w:r>
              <w:rPr>
                <w:rFonts w:ascii="Arial" w:cs="Arial" w:eastAsia="Arial" w:hAnsi="Arial"/>
                <w:color w:val="375623"/>
                <w:sz w:val="20"/>
                <w:szCs w:val="20"/>
              </w:rPr>
              <w:t xml:space="preserve">•  </w:t>
            </w:r>
            <w:r>
              <w:rPr>
                <w:rFonts w:ascii="Arial" w:cs="Arial" w:eastAsia="Arial" w:hAnsi="Arial"/>
                <w:sz w:val="20"/>
                <w:szCs w:val="20"/>
              </w:rPr>
              <w:t xml:space="preserve">Neutralité politique — aucun pilier favorisé</w:t>
            </w:r>
          </w:p>
          <w:p>
            <w:pPr>
              <w:spacing w:before="40"/>
            </w:pPr>
            <w:r>
              <w:rPr>
                <w:rFonts w:ascii="Arial" w:cs="Arial" w:eastAsia="Arial" w:hAnsi="Arial"/>
                <w:color w:val="375623"/>
                <w:sz w:val="20"/>
                <w:szCs w:val="20"/>
              </w:rPr>
              <w:t xml:space="preserve">•  </w:t>
            </w:r>
            <w:r>
              <w:rPr>
                <w:rFonts w:ascii="Arial" w:cs="Arial" w:eastAsia="Arial" w:hAnsi="Arial"/>
                <w:sz w:val="20"/>
                <w:szCs w:val="20"/>
              </w:rPr>
              <w:t xml:space="preserve">Simple à expliquer aux partenaires institutionnels</w:t>
            </w:r>
          </w:p>
          <w:p>
            <w:pPr>
              <w:spacing w:before="40"/>
            </w:pPr>
            <w:r>
              <w:rPr>
                <w:rFonts w:ascii="Arial" w:cs="Arial" w:eastAsia="Arial" w:hAnsi="Arial"/>
                <w:color w:val="375623"/>
                <w:sz w:val="20"/>
                <w:szCs w:val="20"/>
              </w:rPr>
              <w:t xml:space="preserve">•  </w:t>
            </w:r>
            <w:r>
              <w:rPr>
                <w:rFonts w:ascii="Arial" w:cs="Arial" w:eastAsia="Arial" w:hAnsi="Arial"/>
                <w:sz w:val="20"/>
                <w:szCs w:val="20"/>
              </w:rPr>
              <w:t xml:space="preserve">Cohérente avec les standards PNUD/IDH</w:t>
            </w:r>
          </w:p>
        </w:tc>
        <w:tc>
          <w:tcPr>
            <w:tcW w:type="dxa" w:w="4680"/>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tcPr>
          <w:p>
            <w:r>
              <w:rPr>
                <w:rFonts w:ascii="Arial" w:cs="Arial" w:eastAsia="Arial" w:hAnsi="Arial"/>
                <w:b/>
                <w:bCs/>
                <w:color w:val="C00000"/>
                <w:sz w:val="20"/>
                <w:szCs w:val="20"/>
              </w:rPr>
              <w:t xml:space="preserve">Faiblesses</w:t>
            </w:r>
          </w:p>
          <w:p>
            <w:pPr>
              <w:spacing w:before="40"/>
            </w:pPr>
            <w:r>
              <w:rPr>
                <w:rFonts w:ascii="Arial" w:cs="Arial" w:eastAsia="Arial" w:hAnsi="Arial"/>
                <w:color w:val="C00000"/>
                <w:sz w:val="20"/>
                <w:szCs w:val="20"/>
              </w:rPr>
              <w:t xml:space="preserve">•  </w:t>
            </w:r>
            <w:r>
              <w:rPr>
                <w:rFonts w:ascii="Arial" w:cs="Arial" w:eastAsia="Arial" w:hAnsi="Arial"/>
                <w:sz w:val="20"/>
                <w:szCs w:val="20"/>
              </w:rPr>
              <w:t xml:space="preserve">Provisoire par nature — ne reflète pas nécessairement les priorités souveraines africaines réelles</w:t>
            </w:r>
          </w:p>
          <w:p>
            <w:pPr>
              <w:spacing w:before="40"/>
            </w:pPr>
            <w:r>
              <w:rPr>
                <w:rFonts w:ascii="Arial" w:cs="Arial" w:eastAsia="Arial" w:hAnsi="Arial"/>
                <w:color w:val="C00000"/>
                <w:sz w:val="20"/>
                <w:szCs w:val="20"/>
              </w:rPr>
              <w:t xml:space="preserve">•  </w:t>
            </w:r>
            <w:r>
              <w:rPr>
                <w:rFonts w:ascii="Arial" w:cs="Arial" w:eastAsia="Arial" w:hAnsi="Arial"/>
                <w:sz w:val="20"/>
                <w:szCs w:val="20"/>
              </w:rPr>
              <w:t xml:space="preserve">SYC et petits États insulaires structurellement désavantasés (voir R3)</w:t>
            </w:r>
          </w:p>
          <w:p>
            <w:pPr>
              <w:spacing w:before="40"/>
            </w:pPr>
            <w:r>
              <w:rPr>
                <w:rFonts w:ascii="Arial" w:cs="Arial" w:eastAsia="Arial" w:hAnsi="Arial"/>
                <w:color w:val="C00000"/>
                <w:sz w:val="20"/>
                <w:szCs w:val="20"/>
              </w:rPr>
              <w:t xml:space="preserve">•  </w:t>
            </w:r>
            <w:r>
              <w:rPr>
                <w:rFonts w:ascii="Arial" w:cs="Arial" w:eastAsia="Arial" w:hAnsi="Arial"/>
                <w:sz w:val="20"/>
                <w:szCs w:val="20"/>
              </w:rPr>
              <w:t xml:space="preserve">Sensibilité modérée sur D1 — nécessite suivi</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2E75B6"/>
                <w:sz w:val="20"/>
                <w:szCs w:val="20"/>
              </w:rPr>
              <w:t xml:space="preserve">Opportunités</w:t>
            </w:r>
          </w:p>
          <w:p>
            <w:pPr>
              <w:spacing w:before="40"/>
            </w:pPr>
            <w:r>
              <w:rPr>
                <w:rFonts w:ascii="Arial" w:cs="Arial" w:eastAsia="Arial" w:hAnsi="Arial"/>
                <w:color w:val="2E75B6"/>
                <w:sz w:val="20"/>
                <w:szCs w:val="20"/>
              </w:rPr>
              <w:t xml:space="preserve">•  </w:t>
            </w:r>
            <w:r>
              <w:rPr>
                <w:rFonts w:ascii="Arial" w:cs="Arial" w:eastAsia="Arial" w:hAnsi="Arial"/>
                <w:sz w:val="20"/>
                <w:szCs w:val="20"/>
              </w:rPr>
              <w:t xml:space="preserve">Première certification académique d’un indice souverain africain</w:t>
            </w:r>
          </w:p>
          <w:p>
            <w:pPr>
              <w:spacing w:before="40"/>
            </w:pPr>
            <w:r>
              <w:rPr>
                <w:rFonts w:ascii="Arial" w:cs="Arial" w:eastAsia="Arial" w:hAnsi="Arial"/>
                <w:color w:val="2E75B6"/>
                <w:sz w:val="20"/>
                <w:szCs w:val="20"/>
              </w:rPr>
              <w:t xml:space="preserve">•  </w:t>
            </w:r>
            <w:r>
              <w:rPr>
                <w:rFonts w:ascii="Arial" w:cs="Arial" w:eastAsia="Arial" w:hAnsi="Arial"/>
                <w:sz w:val="20"/>
                <w:szCs w:val="20"/>
              </w:rPr>
              <w:t xml:space="preserve">Base de négociation stable avec les partenaires institutionnels</w:t>
            </w:r>
          </w:p>
          <w:p>
            <w:pPr>
              <w:spacing w:before="40"/>
            </w:pPr>
            <w:r>
              <w:rPr>
                <w:rFonts w:ascii="Arial" w:cs="Arial" w:eastAsia="Arial" w:hAnsi="Arial"/>
                <w:color w:val="2E75B6"/>
                <w:sz w:val="20"/>
                <w:szCs w:val="20"/>
              </w:rPr>
              <w:t xml:space="preserve">•  </w:t>
            </w:r>
            <w:r>
              <w:rPr>
                <w:rFonts w:ascii="Arial" w:cs="Arial" w:eastAsia="Arial" w:hAnsi="Arial"/>
                <w:sz w:val="20"/>
                <w:szCs w:val="20"/>
              </w:rPr>
              <w:t xml:space="preserve">Ouvre la voie à une différenciation future validée par les données 2025–2027</w:t>
            </w:r>
          </w:p>
        </w:tc>
        <w:tc>
          <w:tcPr>
            <w:tcW w:type="dxa" w:w="468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r>
              <w:rPr>
                <w:rFonts w:ascii="Arial" w:cs="Arial" w:eastAsia="Arial" w:hAnsi="Arial"/>
                <w:b/>
                <w:bCs/>
                <w:color w:val="7F6000"/>
                <w:sz w:val="20"/>
                <w:szCs w:val="20"/>
              </w:rPr>
              <w:t xml:space="preserve">Menaces</w:t>
            </w:r>
          </w:p>
          <w:p>
            <w:pPr>
              <w:spacing w:before="40"/>
            </w:pPr>
            <w:r>
              <w:rPr>
                <w:rFonts w:ascii="Arial" w:cs="Arial" w:eastAsia="Arial" w:hAnsi="Arial"/>
                <w:color w:val="7F6000"/>
                <w:sz w:val="20"/>
                <w:szCs w:val="20"/>
              </w:rPr>
              <w:t xml:space="preserve">•  </w:t>
            </w:r>
            <w:r>
              <w:rPr>
                <w:rFonts w:ascii="Arial" w:cs="Arial" w:eastAsia="Arial" w:hAnsi="Arial"/>
                <w:sz w:val="20"/>
                <w:szCs w:val="20"/>
              </w:rPr>
              <w:t xml:space="preserve">Gouvernements à fort PMIN ou PGEO pourraient contester</w:t>
            </w:r>
          </w:p>
          <w:p>
            <w:pPr>
              <w:spacing w:before="40"/>
            </w:pPr>
            <w:r>
              <w:rPr>
                <w:rFonts w:ascii="Arial" w:cs="Arial" w:eastAsia="Arial" w:hAnsi="Arial"/>
                <w:color w:val="7F6000"/>
                <w:sz w:val="20"/>
                <w:szCs w:val="20"/>
              </w:rPr>
              <w:t xml:space="preserve">•  </w:t>
            </w:r>
            <w:r>
              <w:rPr>
                <w:rFonts w:ascii="Arial" w:cs="Arial" w:eastAsia="Arial" w:hAnsi="Arial"/>
                <w:sz w:val="20"/>
                <w:szCs w:val="20"/>
              </w:rPr>
              <w:t xml:space="preserve">Risque de pression politique avant septembre 2027</w:t>
            </w:r>
          </w:p>
          <w:p>
            <w:pPr>
              <w:spacing w:before="40"/>
            </w:pPr>
            <w:r>
              <w:rPr>
                <w:rFonts w:ascii="Arial" w:cs="Arial" w:eastAsia="Arial" w:hAnsi="Arial"/>
                <w:color w:val="7F6000"/>
                <w:sz w:val="20"/>
                <w:szCs w:val="20"/>
              </w:rPr>
              <w:t xml:space="preserve">•  </w:t>
            </w:r>
            <w:r>
              <w:rPr>
                <w:rFonts w:ascii="Arial" w:cs="Arial" w:eastAsia="Arial" w:hAnsi="Arial"/>
                <w:sz w:val="20"/>
                <w:szCs w:val="20"/>
              </w:rPr>
              <w:t xml:space="preserve">Une pondération différenciée proposée par un membre du Conseil pourrait rouvrir le débat</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Modalité d’intervention du Conseil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Étape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Responsable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F4E79"/>
                <w:sz w:val="20"/>
                <w:szCs w:val="20"/>
              </w:rPr>
              <w:t xml:space="preserve">J−30 — Secrétariat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Transmission du rapport Monte Carlo complet + scores piliers 2022 des 54 pays + analyse détaillée des 5 pays les plus sensibles.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F4E79"/>
                <w:sz w:val="20"/>
                <w:szCs w:val="20"/>
              </w:rPr>
              <w:t xml:space="preserve">J−15 — Conseil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Session de travail préparatoire. Présentation D1. Questions sur SYC, COD, et cas atypiques. Discussion pondérations différenciées alternatives.</w:t>
            </w:r>
          </w:p>
        </w:tc>
      </w:tr>
      <w:tr>
        <w:tc>
          <w:tcPr>
            <w:tcW w:type="dxa" w:w="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F4E79"/>
                <w:sz w:val="20"/>
                <w:szCs w:val="20"/>
              </w:rPr>
              <w:t xml:space="preserve">J — Conseil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Vote formel. Motion : « Le Conseil certifie la pondération égale 0,10/pilier comme référence officielle ISA_P7E_V1 pour la période 2022–2024. » Quorum : 6/7. Majorité qualifiée : 2/3.</w:t>
            </w:r>
          </w:p>
        </w:tc>
      </w:tr>
      <w:tr>
        <w:tc>
          <w:tcPr>
            <w:tcW w:type="dxa" w:w="6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F4E79"/>
                <w:sz w:val="20"/>
                <w:szCs w:val="20"/>
              </w:rPr>
              <w:t xml:space="preserve">J+30 — Conseil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Inscription à l’ordre du jour session janvier 2029 : première révision des pondérations sur la base des données 2025–2027.</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40"/>
              <w:left w:type="dxa" w:w="240"/>
              <w:bottom w:type="dxa" w:w="140"/>
              <w:right w:type="dxa" w:w="240"/>
            </w:tcMar>
          </w:tcPr>
          <w:p>
            <w:r>
              <w:rPr>
                <w:rFonts w:ascii="Arial" w:cs="Arial" w:eastAsia="Arial" w:hAnsi="Arial"/>
                <w:b/>
                <w:bCs/>
                <w:color w:val="FFFFFF"/>
                <w:sz w:val="32"/>
                <w:szCs w:val="32"/>
              </w:rPr>
              <w:t xml:space="preserve">RECOMMANDATION 2 — Publier les intervalles de confiance pour les pays à faible couverture</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Analyse 5W1H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WHAT — Quoi</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Publier les intervalles de confiance P5–P95 des scores ISA pour tout pays dont l’amplitude IC90 dépasse un seuil défini (seuil suggéré : 0,05).</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WHO — Qui</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Secrétariat technique (calcul et publication) — Conseil scientifique (approbation du seuil et de la politique de communication).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WHEN — Quand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Format de publication à intégrer avant mars 2027 — API P8 et fiches pays. Validation par le Conseil en session de février 2027.</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WHERE — Où</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Toutes les publications officielles ISA : fiches pays, API REST (endpoints /countries/), rapport institutionnel annuel.</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WHY — Pourquoi</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Sans IC, un score de 0,133 pour la RDC est présenté comme une certitude. Avec IC [0,085–0,181], il est présenté honnêtement. C’est la différence entre un indice honnête et un indice trompeur. Exigence académique standard.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HOW — Comment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Utiliser les résultats D3 Monte Carlo par pays. Seuil : amplitude IC90 &gt; 0,05. Deux formats de communication soumis au vote du Conseil : technique (numérique) ou narratif (qualitatif).</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Pays africains concernés — IC90 le plus large (D3)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Pays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Score ISA 2022</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Amplitude IC90 estimée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Cause principale</w:t>
            </w:r>
          </w:p>
        </w:tc>
      </w:tr>
      <w:tr>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COD — Rép. Dém. Congo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0.133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&gt; 0,05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Conflit actif, données partielles, confidence faible sur PMIL/PGEO</w:t>
            </w:r>
          </w:p>
        </w:tc>
      </w:tr>
      <w:tr>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ERI — Érythrée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&gt; 0,08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Accès statistique très limité, isolation internationale</w:t>
            </w:r>
          </w:p>
        </w:tc>
      </w:tr>
      <w:tr>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SOM — Somalie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&gt; 0,10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État fragile, institutions statistiques absentes</w:t>
            </w:r>
          </w:p>
        </w:tc>
      </w:tr>
      <w:tr>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SSN — Soudan du Sud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&gt; 0,07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Post-conflit, système statistique national naissant</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Analyse SWOT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r>
              <w:rPr>
                <w:rFonts w:ascii="Arial" w:cs="Arial" w:eastAsia="Arial" w:hAnsi="Arial"/>
                <w:b/>
                <w:bCs/>
                <w:color w:val="375623"/>
                <w:sz w:val="20"/>
                <w:szCs w:val="20"/>
              </w:rPr>
              <w:t xml:space="preserve">Forces</w:t>
            </w:r>
          </w:p>
          <w:p>
            <w:pPr>
              <w:spacing w:before="40"/>
            </w:pPr>
            <w:r>
              <w:rPr>
                <w:rFonts w:ascii="Arial" w:cs="Arial" w:eastAsia="Arial" w:hAnsi="Arial"/>
                <w:color w:val="375623"/>
                <w:sz w:val="20"/>
                <w:szCs w:val="20"/>
              </w:rPr>
              <w:t xml:space="preserve">•  </w:t>
            </w:r>
            <w:r>
              <w:rPr>
                <w:rFonts w:ascii="Arial" w:cs="Arial" w:eastAsia="Arial" w:hAnsi="Arial"/>
                <w:sz w:val="20"/>
                <w:szCs w:val="20"/>
              </w:rPr>
              <w:t xml:space="preserve">Honnêteté scientifique — différencie l’OSA de tous les indices existants</w:t>
            </w:r>
          </w:p>
          <w:p>
            <w:pPr>
              <w:spacing w:before="40"/>
            </w:pPr>
            <w:r>
              <w:rPr>
                <w:rFonts w:ascii="Arial" w:cs="Arial" w:eastAsia="Arial" w:hAnsi="Arial"/>
                <w:color w:val="375623"/>
                <w:sz w:val="20"/>
                <w:szCs w:val="20"/>
              </w:rPr>
              <w:t xml:space="preserve">•  </w:t>
            </w:r>
            <w:r>
              <w:rPr>
                <w:rFonts w:ascii="Arial" w:cs="Arial" w:eastAsia="Arial" w:hAnsi="Arial"/>
                <w:sz w:val="20"/>
                <w:szCs w:val="20"/>
              </w:rPr>
              <w:t xml:space="preserve">Exigence académique standard attendue par les comités de lecture</w:t>
            </w:r>
          </w:p>
          <w:p>
            <w:pPr>
              <w:spacing w:before="40"/>
            </w:pPr>
            <w:r>
              <w:rPr>
                <w:rFonts w:ascii="Arial" w:cs="Arial" w:eastAsia="Arial" w:hAnsi="Arial"/>
                <w:color w:val="375623"/>
                <w:sz w:val="20"/>
                <w:szCs w:val="20"/>
              </w:rPr>
              <w:t xml:space="preserve">•  </w:t>
            </w:r>
            <w:r>
              <w:rPr>
                <w:rFonts w:ascii="Arial" w:cs="Arial" w:eastAsia="Arial" w:hAnsi="Arial"/>
                <w:sz w:val="20"/>
                <w:szCs w:val="20"/>
              </w:rPr>
              <w:t xml:space="preserve">Valorise les pays à bonne couverture statistique</w:t>
            </w:r>
          </w:p>
        </w:tc>
        <w:tc>
          <w:tcPr>
            <w:tcW w:type="dxa" w:w="4680"/>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tcPr>
          <w:p>
            <w:r>
              <w:rPr>
                <w:rFonts w:ascii="Arial" w:cs="Arial" w:eastAsia="Arial" w:hAnsi="Arial"/>
                <w:b/>
                <w:bCs/>
                <w:color w:val="C00000"/>
                <w:sz w:val="20"/>
                <w:szCs w:val="20"/>
              </w:rPr>
              <w:t xml:space="preserve">Faiblesses</w:t>
            </w:r>
          </w:p>
          <w:p>
            <w:pPr>
              <w:spacing w:before="40"/>
            </w:pPr>
            <w:r>
              <w:rPr>
                <w:rFonts w:ascii="Arial" w:cs="Arial" w:eastAsia="Arial" w:hAnsi="Arial"/>
                <w:color w:val="C00000"/>
                <w:sz w:val="20"/>
                <w:szCs w:val="20"/>
              </w:rPr>
              <w:t xml:space="preserve">•  </w:t>
            </w:r>
            <w:r>
              <w:rPr>
                <w:rFonts w:ascii="Arial" w:cs="Arial" w:eastAsia="Arial" w:hAnsi="Arial"/>
                <w:sz w:val="20"/>
                <w:szCs w:val="20"/>
              </w:rPr>
              <w:t xml:space="preserve">Complexifie la communication publique</w:t>
            </w:r>
          </w:p>
          <w:p>
            <w:pPr>
              <w:spacing w:before="40"/>
            </w:pPr>
            <w:r>
              <w:rPr>
                <w:rFonts w:ascii="Arial" w:cs="Arial" w:eastAsia="Arial" w:hAnsi="Arial"/>
                <w:color w:val="C00000"/>
                <w:sz w:val="20"/>
                <w:szCs w:val="20"/>
              </w:rPr>
              <w:t xml:space="preserve">•  </w:t>
            </w:r>
            <w:r>
              <w:rPr>
                <w:rFonts w:ascii="Arial" w:cs="Arial" w:eastAsia="Arial" w:hAnsi="Arial"/>
                <w:sz w:val="20"/>
                <w:szCs w:val="20"/>
              </w:rPr>
              <w:t xml:space="preserve">Les décideurs préfèrent un chiffre à un intervalle</w:t>
            </w:r>
          </w:p>
          <w:p>
            <w:pPr>
              <w:spacing w:before="40"/>
            </w:pPr>
            <w:r>
              <w:rPr>
                <w:rFonts w:ascii="Arial" w:cs="Arial" w:eastAsia="Arial" w:hAnsi="Arial"/>
                <w:color w:val="C00000"/>
                <w:sz w:val="20"/>
                <w:szCs w:val="20"/>
              </w:rPr>
              <w:t xml:space="preserve">•  </w:t>
            </w:r>
            <w:r>
              <w:rPr>
                <w:rFonts w:ascii="Arial" w:cs="Arial" w:eastAsia="Arial" w:hAnsi="Arial"/>
                <w:sz w:val="20"/>
                <w:szCs w:val="20"/>
              </w:rPr>
              <w:t xml:space="preserve">Risque de confusion entre incertitude méthodologique et fragilité souveraine</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2E75B6"/>
                <w:sz w:val="20"/>
                <w:szCs w:val="20"/>
              </w:rPr>
              <w:t xml:space="preserve">Opportunités</w:t>
            </w:r>
          </w:p>
          <w:p>
            <w:pPr>
              <w:spacing w:before="40"/>
            </w:pPr>
            <w:r>
              <w:rPr>
                <w:rFonts w:ascii="Arial" w:cs="Arial" w:eastAsia="Arial" w:hAnsi="Arial"/>
                <w:color w:val="2E75B6"/>
                <w:sz w:val="20"/>
                <w:szCs w:val="20"/>
              </w:rPr>
              <w:t xml:space="preserve">•  </w:t>
            </w:r>
            <w:r>
              <w:rPr>
                <w:rFonts w:ascii="Arial" w:cs="Arial" w:eastAsia="Arial" w:hAnsi="Arial"/>
                <w:sz w:val="20"/>
                <w:szCs w:val="20"/>
              </w:rPr>
              <w:t xml:space="preserve">Crée une incitation à l’amélioration des systèmes statistiques nationaux</w:t>
            </w:r>
          </w:p>
          <w:p>
            <w:pPr>
              <w:spacing w:before="40"/>
            </w:pPr>
            <w:r>
              <w:rPr>
                <w:rFonts w:ascii="Arial" w:cs="Arial" w:eastAsia="Arial" w:hAnsi="Arial"/>
                <w:color w:val="2E75B6"/>
                <w:sz w:val="20"/>
                <w:szCs w:val="20"/>
              </w:rPr>
              <w:t xml:space="preserve">•  </w:t>
            </w:r>
            <w:r>
              <w:rPr>
                <w:rFonts w:ascii="Arial" w:cs="Arial" w:eastAsia="Arial" w:hAnsi="Arial"/>
                <w:sz w:val="20"/>
                <w:szCs w:val="20"/>
              </w:rPr>
              <w:t xml:space="preserve">Permet un dialogue constructif avec les États à faible couverture</w:t>
            </w:r>
          </w:p>
          <w:p>
            <w:pPr>
              <w:spacing w:before="40"/>
            </w:pPr>
            <w:r>
              <w:rPr>
                <w:rFonts w:ascii="Arial" w:cs="Arial" w:eastAsia="Arial" w:hAnsi="Arial"/>
                <w:color w:val="2E75B6"/>
                <w:sz w:val="20"/>
                <w:szCs w:val="20"/>
              </w:rPr>
              <w:t xml:space="preserve">•  </w:t>
            </w:r>
            <w:r>
              <w:rPr>
                <w:rFonts w:ascii="Arial" w:cs="Arial" w:eastAsia="Arial" w:hAnsi="Arial"/>
                <w:sz w:val="20"/>
                <w:szCs w:val="20"/>
              </w:rPr>
              <w:t xml:space="preserve">Donne aux pays à bonne couverture un avantage de lisibilité</w:t>
            </w:r>
          </w:p>
        </w:tc>
        <w:tc>
          <w:tcPr>
            <w:tcW w:type="dxa" w:w="468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r>
              <w:rPr>
                <w:rFonts w:ascii="Arial" w:cs="Arial" w:eastAsia="Arial" w:hAnsi="Arial"/>
                <w:b/>
                <w:bCs/>
                <w:color w:val="7F6000"/>
                <w:sz w:val="20"/>
                <w:szCs w:val="20"/>
              </w:rPr>
              <w:t xml:space="preserve">Menaces</w:t>
            </w:r>
          </w:p>
          <w:p>
            <w:pPr>
              <w:spacing w:before="40"/>
            </w:pPr>
            <w:r>
              <w:rPr>
                <w:rFonts w:ascii="Arial" w:cs="Arial" w:eastAsia="Arial" w:hAnsi="Arial"/>
                <w:color w:val="7F6000"/>
                <w:sz w:val="20"/>
                <w:szCs w:val="20"/>
              </w:rPr>
              <w:t xml:space="preserve">•  </w:t>
            </w:r>
            <w:r>
              <w:rPr>
                <w:rFonts w:ascii="Arial" w:cs="Arial" w:eastAsia="Arial" w:hAnsi="Arial"/>
                <w:sz w:val="20"/>
                <w:szCs w:val="20"/>
              </w:rPr>
              <w:t xml:space="preserve">Les pays avec de larges IC pourraient percevoir cela comme une stigmatisation</w:t>
            </w:r>
          </w:p>
          <w:p>
            <w:pPr>
              <w:spacing w:before="40"/>
            </w:pPr>
            <w:r>
              <w:rPr>
                <w:rFonts w:ascii="Arial" w:cs="Arial" w:eastAsia="Arial" w:hAnsi="Arial"/>
                <w:color w:val="7F6000"/>
                <w:sz w:val="20"/>
                <w:szCs w:val="20"/>
              </w:rPr>
              <w:t xml:space="preserve">•  </w:t>
            </w:r>
            <w:r>
              <w:rPr>
                <w:rFonts w:ascii="Arial" w:cs="Arial" w:eastAsia="Arial" w:hAnsi="Arial"/>
                <w:sz w:val="20"/>
                <w:szCs w:val="20"/>
              </w:rPr>
              <w:t xml:space="preserve">Pression pour éliminer les IC des communications publiques</w:t>
            </w:r>
          </w:p>
          <w:p>
            <w:pPr>
              <w:spacing w:before="40"/>
            </w:pPr>
            <w:r>
              <w:rPr>
                <w:rFonts w:ascii="Arial" w:cs="Arial" w:eastAsia="Arial" w:hAnsi="Arial"/>
                <w:color w:val="7F6000"/>
                <w:sz w:val="20"/>
                <w:szCs w:val="20"/>
              </w:rPr>
              <w:t xml:space="preserve">•  </w:t>
            </w:r>
            <w:r>
              <w:rPr>
                <w:rFonts w:ascii="Arial" w:cs="Arial" w:eastAsia="Arial" w:hAnsi="Arial"/>
                <w:sz w:val="20"/>
                <w:szCs w:val="20"/>
              </w:rPr>
              <w:t xml:space="preserve">Médiatisation incorrecte de l’IC comme « marge d’erreur »</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Modalité d’intervention du Conseil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Étape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Responsable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F4E79"/>
                <w:sz w:val="20"/>
                <w:szCs w:val="20"/>
              </w:rPr>
              <w:t xml:space="preserve">Fév 2027 — Conseil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Vote de principe : « Tout score ISA dont l’IC90 dépasse 0,05 est publié avec son intervalle P5–P95 explicitement mentionné. » Majorité simple.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F4E79"/>
                <w:sz w:val="20"/>
                <w:szCs w:val="20"/>
              </w:rPr>
              <w:t xml:space="preserve">Mar 2027 — Secrétariat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Présentation de deux formulations au Conseil : Option A (technique) : « 0,133 [IC90 : 0,085–0,181] ». Option B (narrative) : « Estimation avec incertitude statistique significative. » Vote du Conseil sur le format retenu.</w:t>
            </w:r>
          </w:p>
        </w:tc>
      </w:tr>
      <w:tr>
        <w:tc>
          <w:tcPr>
            <w:tcW w:type="dxa" w:w="6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F4E79"/>
                <w:sz w:val="20"/>
                <w:szCs w:val="20"/>
              </w:rPr>
              <w:t xml:space="preserve">Mar 2027 — Secrétariat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Production de fiches de recommandation statistique pour chaque pays à IC large : indicateurs manquants, sources alternatives disponibles, trajectoire d’amélioration.</w:t>
            </w:r>
          </w:p>
        </w:tc>
      </w:tr>
      <w:tr>
        <w:tc>
          <w:tcPr>
            <w:tcW w:type="dxa" w:w="6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F4E79"/>
                <w:sz w:val="20"/>
                <w:szCs w:val="20"/>
              </w:rPr>
              <w:t xml:space="preserve">Annuel — Conseil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0"/>
                <w:szCs w:val="20"/>
              </w:rPr>
              <w:t xml:space="preserve">Suivi annuel de l’évolution des IC par pays. Objectif : réduction de 20 % des amplitudes IC90 sur 5 ans grâce à l’amélioration des systèmes statistiques africains.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40"/>
              <w:left w:type="dxa" w:w="240"/>
              <w:bottom w:type="dxa" w:w="140"/>
              <w:right w:type="dxa" w:w="240"/>
            </w:tcMar>
          </w:tcPr>
          <w:p>
            <w:r>
              <w:rPr>
                <w:rFonts w:ascii="Arial" w:cs="Arial" w:eastAsia="Arial" w:hAnsi="Arial"/>
                <w:b/>
                <w:bCs/>
                <w:color w:val="FFFFFF"/>
                <w:sz w:val="30"/>
                <w:szCs w:val="30"/>
              </w:rPr>
              <w:t xml:space="preserve">CLARIFICATION DOCTRINALE — La sensibilité de SYC est une information, pas un problème</w:t>
            </w:r>
          </w:p>
        </w:tc>
      </w:tr>
    </w:tbl>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L’analyse Monte Carlo D1 identifie les Seychelles (SYC) comme le pays le plus sensible aux pondérations piliers. Ce constat a été initialement interprété comme un défaut à corriger via une applicabilité conditionnelle. Cette interprétation est doctrinalement incorrecte — et son rejet est un apport doctrinal majeur de cette analyse.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Interprétation incorrecte — écartée</w:t>
            </w:r>
          </w:p>
        </w:tc>
        <w:tc>
          <w:tcPr>
            <w:tcW w:type="dxa" w:w="468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Interprétation doctrinale correcte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00000"/>
                <w:sz w:val="20"/>
                <w:szCs w:val="20"/>
              </w:rPr>
              <w:t xml:space="preserve">SYC est sensible car il n’a pas de mines ni d’armée — il faudrait exclure ces indicateurs.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5623"/>
                <w:sz w:val="20"/>
                <w:szCs w:val="20"/>
              </w:rPr>
              <w:t xml:space="preserve">SYC a 0 mine et une armée symbolique. C’est sa réalité souveraine actuelle, correctement mesurée. Son score PMIN bas et son score PMIL bas sont des informations souveraines, pas des artefacts.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00000"/>
                <w:sz w:val="20"/>
                <w:szCs w:val="20"/>
              </w:rPr>
              <w:t xml:space="preserve">Un pays qui choisit de ne pas avoir d’armée est hors périmètre de PMIL.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5623"/>
                <w:sz w:val="20"/>
                <w:szCs w:val="20"/>
              </w:rPr>
              <w:t xml:space="preserve">Un pays qui choisit de ne pas avoir d’armée exerce sa souveraineté. Ce choix se reflète dans un score PMIL bas — exact et légitime. Si demain il change de paradigme, son score évoluera. C’est la logique de trajectoire.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00000"/>
                <w:sz w:val="20"/>
                <w:szCs w:val="20"/>
              </w:rPr>
              <w:t xml:space="preserve">Un pays en développement minier : quand passe-t-on de NOT_APPLICABLE à APPLICABLE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5623"/>
                <w:sz w:val="20"/>
                <w:szCs w:val="20"/>
              </w:rPr>
              <w:t xml:space="preserve">Lorsqu’il publie ses données. S’il ne le fait pas, il devient opaque — ce qui est lui-même un signal souverain négatif (Axiome 2). La publication déclenche l’applicabilité.</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00000"/>
                <w:sz w:val="20"/>
                <w:szCs w:val="20"/>
              </w:rPr>
              <w:t xml:space="preserve">Si SYC remonte de 5 rangs après exclusion, d’autres pays descendent — problème politique.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75623"/>
                <w:sz w:val="20"/>
                <w:szCs w:val="20"/>
              </w:rPr>
              <w:t xml:space="preserve">Les rangs résultent des données observées et publiées. Ils sont traçables et doctrinalement justifiables. Ce n’est pas un problème politique — c’est la mesure de la réalité.</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60"/>
              <w:left w:type="dxa" w:w="240"/>
              <w:bottom w:type="dxa" w:w="160"/>
              <w:right w:type="dxa" w:w="240"/>
            </w:tcMar>
          </w:tcPr>
          <w:p>
            <w:pPr>
              <w:jc w:val="both"/>
            </w:pPr>
            <w:r>
              <w:rPr>
                <w:rFonts w:ascii="Arial" w:cs="Arial" w:eastAsia="Arial" w:hAnsi="Arial"/>
                <w:i/>
                <w:iCs/>
                <w:color w:val="375623"/>
                <w:sz w:val="22"/>
                <w:szCs w:val="22"/>
              </w:rPr>
              <w:t xml:space="preserve">Principe doctrinal confirmé et raffiné par cette analyse : tout ce qui est observé a un sens. L’ISA mesure des trajectoires souveraines à partir des données publiées par les États. Un pays avec 2 mines a 2 mines — c’est son point de départ souverain. La NOT_APPLICABLE s’applique uniquement lorsque le phénomène est physiquement impossible à observer (ex : géolocalisation d’une mine inexistante), jamais parce qu’un pays a peu de mines ou peu de soldats.</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Synthèse — Décisions requises du Conseil scientifique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1800"/>
        <w:gridCol w:w="26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Rec.</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Décision requise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Urgence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Règle de vote</w:t>
            </w:r>
          </w:p>
        </w:tc>
      </w:tr>
      <w:tr>
        <w:tc>
          <w:tcPr>
            <w:tcW w:type="dxa" w:w="1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R1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Certifier la pondération égale 0,10/pilier comme référence officielle ISA_P7E_V1</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i w:val="false"/>
                <w:iCs w:val="false"/>
                <w:color w:val="7F6000"/>
                <w:sz w:val="20"/>
                <w:szCs w:val="20"/>
              </w:rPr>
              <w:t xml:space="preserve">Avant juin 2027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Majorité qualifiée 2/3 — Quorum 6/7</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R2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Approuver la politique de publication des IC P5–P95 et le seuil d’activation (IC90 &gt; 0,05)</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i w:val="false"/>
                <w:iCs w:val="false"/>
                <w:color w:val="7F6000"/>
                <w:sz w:val="20"/>
                <w:szCs w:val="20"/>
              </w:rPr>
              <w:t xml:space="preserve">Avant mars 2027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Majorité simple 4/5 — Quorum 5/7</w:t>
            </w:r>
          </w:p>
        </w:tc>
      </w:tr>
      <w:tr>
        <w:tc>
          <w:tcPr>
            <w:tcW w:type="dxa" w:w="14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R3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Valider la liste pays + indicateurs exclus pour rf.structural_constraints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Avant déc. 2026 — URGENT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Unanimité recommandée — Quorum 7/7</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60"/>
              <w:left w:type="dxa" w:w="240"/>
              <w:bottom w:type="dxa" w:w="160"/>
              <w:right w:type="dxa" w:w="240"/>
            </w:tcMar>
          </w:tcPr>
          <w:p>
            <w:pPr>
              <w:jc w:val="both"/>
            </w:pPr>
            <w:r>
              <w:rPr>
                <w:rFonts w:ascii="Arial" w:cs="Arial" w:eastAsia="Arial" w:hAnsi="Arial"/>
                <w:i/>
                <w:iCs/>
                <w:color w:val="C00000"/>
                <w:sz w:val="22"/>
                <w:szCs w:val="22"/>
              </w:rPr>
              <w:t xml:space="preserve">R3 est la recommandation la plus urgente. Elle conditionne le recalcul ISA pour les petits États insulaires africains, qui doit être validé et intégré dans la publication officielle avant la session de certification de juin 2027.</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20"/>
              <w:bottom w:type="dxa" w:w="200"/>
              <w:right w:type="dxa" w:w="320"/>
            </w:tcMar>
          </w:tcPr>
          <w:p>
            <w:pPr>
              <w:jc w:val="center"/>
            </w:pPr>
            <w:r>
              <w:rPr>
                <w:rFonts w:ascii="Arial" w:cs="Arial" w:eastAsia="Arial" w:hAnsi="Arial"/>
                <w:b/>
                <w:bCs/>
                <w:color w:val="FFFFFF"/>
                <w:sz w:val="28"/>
                <w:szCs w:val="28"/>
              </w:rPr>
              <w:t xml:space="preserve">Robustesse globale ISA v2 : 0,870 — Pondération égale certifiable</w:t>
            </w:r>
          </w:p>
          <w:p>
            <w:pPr>
              <w:jc w:val="center"/>
            </w:pPr>
            <w:r>
              <w:rPr>
                <w:rFonts w:ascii="Arial" w:cs="Arial" w:eastAsia="Arial" w:hAnsi="Arial"/>
                <w:i/>
                <w:iCs/>
                <w:color w:val="BDD7EE"/>
                <w:sz w:val="22"/>
                <w:szCs w:val="22"/>
              </w:rPr>
              <w:t xml:space="preserve">Trois décisions du Conseil scientifique avant le lancement de septembre 2027.</w:t>
            </w:r>
          </w:p>
        </w:tc>
      </w:tr>
    </w:tbl>
    <w:p>
      <w:pPr>
        <w:spacing w:after="100" w:before="100"/>
      </w:pPr>
      <w:r>
        <w:t xml:space="preserve"/>
      </w:r>
    </w:p>
    <w:p>
      <w:pPr>
        <w:spacing w:before="240"/>
        <w:jc w:val="center"/>
      </w:pPr>
      <w:r>
        <w:rPr>
          <w:rFonts w:ascii="Arial" w:cs="Arial" w:eastAsia="Arial" w:hAnsi="Arial"/>
          <w:i/>
          <w:iCs/>
          <w:color w:val="888888"/>
          <w:sz w:val="18"/>
          <w:szCs w:val="18"/>
        </w:rPr>
        <w:t xml:space="preserve">Observatoire de la Souveraineté Africaine — Recommandations Monte Carlo ISA v2 — Mai 2026 — Confidentiel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OSA Observatory — Recommandations Monte Carlo ISA v2 — Conseil scientifique panafricain —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2026-05-24T22:04:49.533Z</dcterms:created>
  <dcterms:modified xsi:type="dcterms:W3CDTF">2026-05-24T22:04:49.546Z</dcterms:modified>
</cp:coreProperties>
</file>

<file path=docProps/custom.xml><?xml version="1.0" encoding="utf-8"?>
<Properties xmlns="http://schemas.openxmlformats.org/officeDocument/2006/custom-properties" xmlns:vt="http://schemas.openxmlformats.org/officeDocument/2006/docPropsVTypes"/>
</file>