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60" w:before="0"/>
        <w:jc w:val="center"/>
      </w:pPr>
      <w:r>
        <w:rPr>
          <w:rFonts w:ascii="Arial" w:cs="Arial" w:eastAsia="Arial" w:hAnsi="Arial"/>
          <w:b/>
          <w:bCs/>
          <w:color w:val="0F4A1A"/>
          <w:sz w:val="60"/>
          <w:szCs w:val="60"/>
        </w:rPr>
        <w:t xml:space="preserve">OSA OBSERVATORY</w:t>
      </w:r>
    </w:p>
    <w:p>
      <w:pPr>
        <w:spacing w:after="100" w:before="0"/>
        <w:jc w:val="center"/>
      </w:pPr>
      <w:r>
        <w:rPr>
          <w:rFonts w:ascii="Arial" w:cs="Arial" w:eastAsia="Arial" w:hAnsi="Arial"/>
          <w:i/>
          <w:iCs/>
          <w:color w:val="1A6B2A"/>
          <w:sz w:val="26"/>
          <w:szCs w:val="26"/>
        </w:rPr>
        <w:t xml:space="preserve">Observatoire de la Souverainete Africaine</w:t>
      </w:r>
    </w:p>
    <w:p>
      <w:pPr>
        <w:pBdr>
          <w:top w:val="single" w:color="C8973A" w:sz="16" w:space="1"/>
        </w:pBdr>
        <w:spacing w:after="100" w:before="440"/>
        <w:jc w:val="center"/>
      </w:pPr>
    </w:p>
    <w:p>
      <w:pPr>
        <w:spacing w:after="100" w:before="100"/>
        <w:jc w:val="center"/>
      </w:pPr>
      <w:r>
        <w:rPr>
          <w:rFonts w:ascii="Arial" w:cs="Arial" w:eastAsia="Arial" w:hAnsi="Arial"/>
          <w:b/>
          <w:bCs/>
          <w:color w:val="0F4A1A"/>
          <w:sz w:val="48"/>
          <w:szCs w:val="48"/>
        </w:rPr>
        <w:t xml:space="preserve">RAPPORT DE CLOTURE</w:t>
      </w:r>
    </w:p>
    <w:p>
      <w:pPr>
        <w:spacing w:after="80" w:before="80"/>
        <w:jc w:val="center"/>
      </w:pPr>
      <w:r>
        <w:rPr>
          <w:rFonts w:ascii="Arial" w:cs="Arial" w:eastAsia="Arial" w:hAnsi="Arial"/>
          <w:b/>
          <w:bCs/>
          <w:color w:val="1A6B2A"/>
          <w:sz w:val="36"/>
          <w:szCs w:val="36"/>
        </w:rPr>
        <w:t xml:space="preserve">Sprints 27 — 28 — 29</w:t>
      </w:r>
    </w:p>
    <w:p>
      <w:pPr>
        <w:spacing w:after="80" w:before="80"/>
        <w:jc w:val="center"/>
      </w:pPr>
      <w:r>
        <w:rPr>
          <w:rFonts w:ascii="Arial" w:cs="Arial" w:eastAsia="Arial" w:hAnsi="Arial"/>
          <w:i/>
          <w:iCs/>
          <w:color w:val="C8973A"/>
          <w:sz w:val="28"/>
          <w:szCs w:val="28"/>
        </w:rPr>
        <w:t xml:space="preserve">Institution et deploiement de la classe IOSA</w:t>
      </w:r>
    </w:p>
    <w:p>
      <w:pPr>
        <w:spacing w:after="440" w:before="80"/>
        <w:jc w:val="center"/>
      </w:pPr>
      <w:r>
        <w:rPr>
          <w:rFonts w:ascii="Arial" w:cs="Arial" w:eastAsia="Arial" w:hAnsi="Arial"/>
          <w:color w:val="5A7A5A"/>
          <w:sz w:val="22"/>
          <w:szCs w:val="22"/>
        </w:rPr>
        <w:t xml:space="preserve">Observatoire de la Souverainete Africaine</w:t>
      </w:r>
    </w:p>
    <w:p>
      <w:pPr>
        <w:pBdr>
          <w:bottom w:val="single" w:color="C8973A" w:sz="16" w:space="1"/>
        </w:pBdr>
        <w:spacing w:after="60" w:before="0"/>
        <w:jc w:val="center"/>
      </w:pPr>
    </w:p>
    <w:p>
      <w:pPr>
        <w:spacing w:after="80" w:before="80"/>
      </w:pPr>
      <w:r>
        <w:t xml:space="preserve"/>
      </w:r>
    </w:p>
    <w:p>
      <w:pPr>
        <w:spacing w:after="60" w:before="160"/>
        <w:jc w:val="center"/>
      </w:pPr>
      <w:r>
        <w:rPr>
          <w:rFonts w:ascii="Arial" w:cs="Arial" w:eastAsia="Arial" w:hAnsi="Arial"/>
          <w:color w:val="0F4A1A"/>
          <w:sz w:val="22"/>
          <w:szCs w:val="22"/>
        </w:rPr>
        <w:t xml:space="preserve">Juin 2026</w:t>
      </w:r>
    </w:p>
    <w:p>
      <w:pPr>
        <w:spacing w:after="60" w:before="60"/>
        <w:jc w:val="center"/>
      </w:pPr>
      <w:r>
        <w:rPr>
          <w:rFonts w:ascii="Arial" w:cs="Arial" w:eastAsia="Arial" w:hAnsi="Arial"/>
          <w:b/>
          <w:bCs/>
          <w:color w:val="1A6B2A"/>
          <w:sz w:val="22"/>
          <w:szCs w:val="22"/>
        </w:rPr>
        <w:t xml:space="preserve">Conseil technique OSA</w:t>
      </w:r>
    </w:p>
    <w:p>
      <w:pPr>
        <w:spacing w:after="60" w:before="60"/>
        <w:jc w:val="center"/>
      </w:pPr>
      <w:r>
        <w:rPr>
          <w:rFonts w:ascii="Arial" w:cs="Arial" w:eastAsia="Arial" w:hAnsi="Arial"/>
          <w:color w:val="5A7A5A"/>
          <w:sz w:val="19"/>
          <w:szCs w:val="19"/>
        </w:rPr>
        <w:t xml:space="preserve">5 lots livres | 3 GAF findings orientes | Performance x550 GENECO | x2700 AMAR</w:t>
      </w:r>
    </w:p>
    <w:p>
      <w:r>
        <w:br w:type="page"/>
      </w:r>
    </w:p>
    <w:p>
      <w:pPr>
        <w:pStyle w:val="Heading1"/>
        <w:pBdr>
          <w:bottom w:val="single" w:color="C8973A" w:sz="8" w:space="1"/>
        </w:pBdr>
        <w:spacing w:after="200" w:before="400"/>
      </w:pPr>
      <w:r>
        <w:rPr>
          <w:rFonts w:ascii="Arial" w:cs="Arial" w:eastAsia="Arial" w:hAnsi="Arial"/>
          <w:b/>
          <w:bCs/>
          <w:color w:val="0F4A1A"/>
          <w:sz w:val="34"/>
          <w:szCs w:val="34"/>
        </w:rPr>
        <w:t xml:space="preserve">1. Contexte et Decision Fondatrice</w:t>
      </w:r>
    </w:p>
    <w:p>
      <w:pPr>
        <w:spacing w:after="100" w:before="60"/>
      </w:pPr>
      <w:r>
        <w:rPr>
          <w:rFonts w:ascii="Arial" w:cs="Arial" w:eastAsia="Arial" w:hAnsi="Arial"/>
          <w:color w:val="1A2A1A"/>
          <w:sz w:val="20"/>
          <w:szCs w:val="20"/>
        </w:rPr>
        <w:t xml:space="preserve">Les Sprints 27, 28 et 29 forment une sequence architecturale indivisible : institution doctrinale, infrastructure technique et exposition publique d'une nouvelle couche analytique de l'OSA — la classe IOSA.</w:t>
      </w:r>
    </w:p>
    <w:p>
      <w:pPr>
        <w:spacing w:after="80" w:before="80"/>
      </w:pPr>
      <w:r>
        <w:t xml:space="preserve"/>
      </w:r>
    </w:p>
    <w:p>
      <w:pPr>
        <w:pStyle w:val="Heading2"/>
        <w:spacing w:after="120" w:before="280"/>
      </w:pPr>
      <w:r>
        <w:rPr>
          <w:rFonts w:ascii="Arial" w:cs="Arial" w:eastAsia="Arial" w:hAnsi="Arial"/>
          <w:b/>
          <w:bCs/>
          <w:color w:val="1A6B2A"/>
          <w:sz w:val="26"/>
          <w:szCs w:val="26"/>
        </w:rPr>
        <w:t xml:space="preserve">1.1 Sequence des sprints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826"/>
      </w:tblGrid>
      <w:tr>
        <w:tc>
          <w:tcPr>
            <w:tcW w:type="dxa" w:w="14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Sprint</w:t>
            </w:r>
          </w:p>
        </w:tc>
        <w:tc>
          <w:tcPr>
            <w:tcW w:type="dxa" w:w="28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Objet</w:t>
            </w:r>
          </w:p>
        </w:tc>
        <w:tc>
          <w:tcPr>
            <w:tcW w:type="dxa" w:w="4826"/>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Livrable principal</w:t>
            </w:r>
          </w:p>
        </w:tc>
      </w:tr>
      <w:tr>
        <w:tc>
          <w:tcPr>
            <w:tcW w:type="dxa" w:w="14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2A1A"/>
                <w:sz w:val="20"/>
                <w:szCs w:val="20"/>
              </w:rPr>
              <w:t xml:space="preserve">Sprint 27</w:t>
            </w:r>
          </w:p>
        </w:tc>
        <w:tc>
          <w:tcPr>
            <w:tcW w:type="dxa" w:w="28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Institution doctrinale IOSA</w:t>
            </w:r>
          </w:p>
        </w:tc>
        <w:tc>
          <w:tcPr>
            <w:tcW w:type="dxa" w:w="48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GAF #30 ORIENTED -- 3 indicateurs actives</w:t>
            </w:r>
          </w:p>
        </w:tc>
      </w:tr>
      <w:tr>
        <w:tc>
          <w:tcPr>
            <w:tcW w:type="dxa" w:w="14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2A1A"/>
                <w:sz w:val="20"/>
                <w:szCs w:val="20"/>
              </w:rPr>
              <w:t xml:space="preserve">Sprint 28</w:t>
            </w:r>
          </w:p>
        </w:tc>
        <w:tc>
          <w:tcPr>
            <w:tcW w:type="dxa" w:w="28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Infrastructure technique</w:t>
            </w:r>
          </w:p>
        </w:tc>
        <w:tc>
          <w:tcPr>
            <w:tcW w:type="dxa" w:w="48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Endpoint API + weakness_score_raw + GAF #21 ORIENTED</w:t>
            </w:r>
          </w:p>
        </w:tc>
      </w:tr>
      <w:tr>
        <w:tc>
          <w:tcPr>
            <w:tcW w:type="dxa" w:w="14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2A1A"/>
                <w:sz w:val="20"/>
                <w:szCs w:val="20"/>
              </w:rPr>
              <w:t xml:space="preserve">Sprint 29</w:t>
            </w:r>
          </w:p>
        </w:tc>
        <w:tc>
          <w:tcPr>
            <w:tcW w:type="dxa" w:w="28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Exposition publique</w:t>
            </w:r>
          </w:p>
        </w:tc>
        <w:tc>
          <w:tcPr>
            <w:tcW w:type="dxa" w:w="48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Portail IOSA + AMAR/GENECO refondus + index piliers</w:t>
            </w:r>
          </w:p>
        </w:tc>
      </w:tr>
    </w:tbl>
    <w:p>
      <w:pPr>
        <w:spacing w:after="80" w:before="80"/>
      </w:pPr>
      <w:r>
        <w:t xml:space="preserve"/>
      </w:r>
    </w:p>
    <w:p>
      <w:pPr>
        <w:pStyle w:val="Heading2"/>
        <w:spacing w:after="120" w:before="280"/>
      </w:pPr>
      <w:r>
        <w:rPr>
          <w:rFonts w:ascii="Arial" w:cs="Arial" w:eastAsia="Arial" w:hAnsi="Arial"/>
          <w:b/>
          <w:bCs/>
          <w:color w:val="1A6B2A"/>
          <w:sz w:val="26"/>
          <w:szCs w:val="26"/>
        </w:rPr>
        <w:t xml:space="preserve">1.2 Principe fondateur P7E</w:t>
      </w:r>
    </w:p>
    <w:p>
      <w:pPr>
        <w:spacing w:after="100" w:before="60"/>
      </w:pPr>
      <w:r>
        <w:rPr>
          <w:rFonts w:ascii="Arial" w:cs="Arial" w:eastAsia="Arial" w:hAnsi="Arial"/>
          <w:color w:val="1A2A1A"/>
          <w:sz w:val="20"/>
          <w:szCs w:val="20"/>
        </w:rPr>
        <w:t xml:space="preserve">La classe IOSA est fondee sur le principe doctrinal P7E de l'OSA : observation comportementale pure, non comparative, non imputable. Un indicateur IOSA documente un delta mesurable -- l'ecart entre ce qu'un Etat declare et ce que les donnees primaires revelent. L'absence de donnee est une information souveraine, pas une lacune a combler.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c>
          <w:tcPr>
            <w:tcW w:type="dxa" w:w="1600"/>
            <w:tcBorders>
              <w:top w:val="single" w:color="D4E4D4" w:sz="1"/>
              <w:left w:val="single" w:color="D4E4D4" w:sz="1"/>
              <w:bottom w:val="single" w:color="D4E4D4" w:sz="1"/>
              <w:right w:val="single" w:color="D4E4D4" w:sz="1"/>
            </w:tcBorders>
            <w:shd w:fill="C8973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Produit</w:t>
            </w:r>
          </w:p>
        </w:tc>
        <w:tc>
          <w:tcPr>
            <w:tcW w:type="dxa" w:w="2200"/>
            <w:tcBorders>
              <w:top w:val="single" w:color="D4E4D4" w:sz="1"/>
              <w:left w:val="single" w:color="D4E4D4" w:sz="1"/>
              <w:bottom w:val="single" w:color="D4E4D4" w:sz="1"/>
              <w:right w:val="single" w:color="D4E4D4" w:sz="1"/>
            </w:tcBorders>
            <w:shd w:fill="C8973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Verbe</w:t>
            </w:r>
          </w:p>
        </w:tc>
        <w:tc>
          <w:tcPr>
            <w:tcW w:type="dxa" w:w="5226"/>
            <w:tcBorders>
              <w:top w:val="single" w:color="D4E4D4" w:sz="1"/>
              <w:left w:val="single" w:color="D4E4D4" w:sz="1"/>
              <w:bottom w:val="single" w:color="D4E4D4" w:sz="1"/>
              <w:right w:val="single" w:color="D4E4D4" w:sz="1"/>
            </w:tcBorders>
            <w:shd w:fill="C8973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Finalite</w:t>
            </w:r>
          </w:p>
        </w:tc>
      </w:tr>
      <w:tr>
        <w:tc>
          <w:tcPr>
            <w:tcW w:type="dxa" w:w="16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2A1A"/>
                <w:sz w:val="20"/>
                <w:szCs w:val="20"/>
              </w:rPr>
              <w:t xml:space="preserve">ISA</w:t>
            </w:r>
          </w:p>
        </w:tc>
        <w:tc>
          <w:tcPr>
            <w:tcW w:type="dxa" w:w="22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Evaluer</w:t>
            </w:r>
          </w:p>
        </w:tc>
        <w:tc>
          <w:tcPr>
            <w:tcW w:type="dxa" w:w="52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Mesurer le niveau de souverainete d'un Etat</w:t>
            </w:r>
          </w:p>
        </w:tc>
      </w:tr>
      <w:tr>
        <w:tc>
          <w:tcPr>
            <w:tcW w:type="dxa" w:w="16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2A1A"/>
                <w:sz w:val="20"/>
                <w:szCs w:val="20"/>
              </w:rPr>
              <w:t xml:space="preserve">IOSA</w:t>
            </w:r>
          </w:p>
        </w:tc>
        <w:tc>
          <w:tcPr>
            <w:tcW w:type="dxa" w:w="22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Observer</w:t>
            </w:r>
          </w:p>
        </w:tc>
        <w:tc>
          <w:tcPr>
            <w:tcW w:type="dxa" w:w="52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Documenter des phenomenes observables a materialite mesurable</w:t>
            </w:r>
          </w:p>
        </w:tc>
      </w:tr>
      <w:tr>
        <w:tc>
          <w:tcPr>
            <w:tcW w:type="dxa" w:w="16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2A1A"/>
                <w:sz w:val="20"/>
                <w:szCs w:val="20"/>
              </w:rPr>
              <w:t xml:space="preserve">GENECO</w:t>
            </w:r>
          </w:p>
        </w:tc>
        <w:tc>
          <w:tcPr>
            <w:tcW w:type="dxa" w:w="22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Detecter</w:t>
            </w:r>
          </w:p>
        </w:tc>
        <w:tc>
          <w:tcPr>
            <w:tcW w:type="dxa" w:w="52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Identifier des configurations compatibles avec un conflit economique</w:t>
            </w:r>
          </w:p>
        </w:tc>
      </w:tr>
      <w:tr>
        <w:tc>
          <w:tcPr>
            <w:tcW w:type="dxa" w:w="16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2A1A"/>
                <w:sz w:val="20"/>
                <w:szCs w:val="20"/>
              </w:rPr>
              <w:t xml:space="preserve">AMAR</w:t>
            </w:r>
          </w:p>
        </w:tc>
        <w:tc>
          <w:tcPr>
            <w:tcW w:type="dxa" w:w="22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Alerter</w:t>
            </w:r>
          </w:p>
        </w:tc>
        <w:tc>
          <w:tcPr>
            <w:tcW w:type="dxa" w:w="52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Signaler qu'une situation justifie l'attention des decideurs</w:t>
            </w:r>
          </w:p>
        </w:tc>
      </w:tr>
    </w:tbl>
    <w:p>
      <w:pPr>
        <w:spacing w:after="80" w:before="80"/>
      </w:pPr>
      <w:r>
        <w:t xml:space="preserve"/>
      </w:r>
    </w:p>
    <w:p>
      <w:pPr>
        <w:pStyle w:val="Heading1"/>
        <w:pBdr>
          <w:bottom w:val="single" w:color="C8973A" w:sz="8" w:space="1"/>
        </w:pBdr>
        <w:spacing w:after="200" w:before="400"/>
      </w:pPr>
      <w:r>
        <w:rPr>
          <w:rFonts w:ascii="Arial" w:cs="Arial" w:eastAsia="Arial" w:hAnsi="Arial"/>
          <w:b/>
          <w:bCs/>
          <w:color w:val="0F4A1A"/>
          <w:sz w:val="34"/>
          <w:szCs w:val="34"/>
        </w:rPr>
        <w:t xml:space="preserve">2. Sprint 27 — Institution Doctrinale IOSA</w:t>
      </w:r>
    </w:p>
    <w:p>
      <w:pPr>
        <w:pStyle w:val="Heading2"/>
        <w:spacing w:after="120" w:before="280"/>
      </w:pPr>
      <w:r>
        <w:rPr>
          <w:rFonts w:ascii="Arial" w:cs="Arial" w:eastAsia="Arial" w:hAnsi="Arial"/>
          <w:b/>
          <w:bCs/>
          <w:color w:val="1A6B2A"/>
          <w:sz w:val="26"/>
          <w:szCs w:val="26"/>
        </w:rPr>
        <w:t xml:space="preserve">2.1 GAF Finding #30 — IOSA_CLASS_CREATION (ORIENTED)</w:t>
      </w:r>
    </w:p>
    <w:p>
      <w:pPr>
        <w:spacing w:after="100" w:before="60"/>
      </w:pPr>
      <w:r>
        <w:rPr>
          <w:rFonts w:ascii="Arial" w:cs="Arial" w:eastAsia="Arial" w:hAnsi="Arial"/>
          <w:color w:val="1A2A1A"/>
          <w:sz w:val="20"/>
          <w:szCs w:val="20"/>
        </w:rPr>
        <w:t xml:space="preserve">Le Conseil technique OSA a institue la classe IOSA par la decision architecturale GAF-ARCH-IOSA-001 du 23 juin 2026. Six criteres de classification ont ete actes :</w:t>
      </w:r>
    </w:p>
    <w:p>
      <w:pPr>
        <w:pStyle w:val="ListParagraph"/>
        <w:numPr>
          <w:ilvl w:val="0"/>
          <w:numId w:val="2"/>
        </w:numPr>
        <w:spacing w:after="40" w:before="40"/>
      </w:pPr>
      <w:r>
        <w:rPr>
          <w:rFonts w:ascii="Arial" w:cs="Arial" w:eastAsia="Arial" w:hAnsi="Arial"/>
          <w:color w:val="1A2A1A"/>
          <w:sz w:val="20"/>
          <w:szCs w:val="20"/>
        </w:rPr>
        <w:t xml:space="preserve">Source primaire unique identifiee et auditee</w:t>
      </w:r>
    </w:p>
    <w:p>
      <w:pPr>
        <w:pStyle w:val="ListParagraph"/>
        <w:numPr>
          <w:ilvl w:val="0"/>
          <w:numId w:val="2"/>
        </w:numPr>
        <w:spacing w:after="40" w:before="40"/>
      </w:pPr>
      <w:r>
        <w:rPr>
          <w:rFonts w:ascii="Arial" w:cs="Arial" w:eastAsia="Arial" w:hAnsi="Arial"/>
          <w:color w:val="1A2A1A"/>
          <w:sz w:val="20"/>
          <w:szCs w:val="20"/>
        </w:rPr>
        <w:t xml:space="preserve">Non comparatif inter-pays sans biais causal</w:t>
      </w:r>
    </w:p>
    <w:p>
      <w:pPr>
        <w:pStyle w:val="ListParagraph"/>
        <w:numPr>
          <w:ilvl w:val="0"/>
          <w:numId w:val="2"/>
        </w:numPr>
        <w:spacing w:after="40" w:before="40"/>
      </w:pPr>
      <w:r>
        <w:rPr>
          <w:rFonts w:ascii="Arial" w:cs="Arial" w:eastAsia="Arial" w:hAnsi="Arial"/>
          <w:color w:val="1A2A1A"/>
          <w:sz w:val="20"/>
          <w:szCs w:val="20"/>
        </w:rPr>
        <w:t xml:space="preserve">Non imputable -- absence de donnee = information souveraine</w:t>
      </w:r>
    </w:p>
    <w:p>
      <w:pPr>
        <w:pStyle w:val="ListParagraph"/>
        <w:numPr>
          <w:ilvl w:val="0"/>
          <w:numId w:val="2"/>
        </w:numPr>
        <w:spacing w:after="40" w:before="40"/>
      </w:pPr>
      <w:r>
        <w:rPr>
          <w:rFonts w:ascii="Arial" w:cs="Arial" w:eastAsia="Arial" w:hAnsi="Arial"/>
          <w:color w:val="1A2A1A"/>
          <w:sz w:val="20"/>
          <w:szCs w:val="20"/>
        </w:rPr>
        <w:t xml:space="preserve">Auditabilite totale : source -&gt; formule -&gt; valeur</w:t>
      </w:r>
    </w:p>
    <w:p>
      <w:pPr>
        <w:pStyle w:val="ListParagraph"/>
        <w:numPr>
          <w:ilvl w:val="0"/>
          <w:numId w:val="2"/>
        </w:numPr>
        <w:spacing w:after="40" w:before="40"/>
      </w:pPr>
      <w:r>
        <w:rPr>
          <w:rFonts w:ascii="Arial" w:cs="Arial" w:eastAsia="Arial" w:hAnsi="Arial"/>
          <w:color w:val="1A2A1A"/>
          <w:sz w:val="20"/>
          <w:szCs w:val="20"/>
        </w:rPr>
        <w:t xml:space="preserve">Hors calcul ISA (indicator_meta_links absent)</w:t>
      </w:r>
    </w:p>
    <w:p>
      <w:pPr>
        <w:pStyle w:val="ListParagraph"/>
        <w:numPr>
          <w:ilvl w:val="0"/>
          <w:numId w:val="2"/>
        </w:numPr>
        <w:spacing w:after="40" w:before="40"/>
      </w:pPr>
      <w:r>
        <w:rPr>
          <w:rFonts w:ascii="Arial" w:cs="Arial" w:eastAsia="Arial" w:hAnsi="Arial"/>
          <w:color w:val="1A2A1A"/>
          <w:sz w:val="20"/>
          <w:szCs w:val="20"/>
        </w:rPr>
        <w:t xml:space="preserve">Hors intrants directs AMAR/GENECO</w:t>
      </w:r>
    </w:p>
    <w:p>
      <w:pPr>
        <w:spacing w:after="80" w:before="80"/>
      </w:pPr>
      <w:r>
        <w:t xml:space="preserve"/>
      </w:r>
    </w:p>
    <w:p>
      <w:pPr>
        <w:pStyle w:val="Heading2"/>
        <w:spacing w:after="120" w:before="280"/>
      </w:pPr>
      <w:r>
        <w:rPr>
          <w:rFonts w:ascii="Arial" w:cs="Arial" w:eastAsia="Arial" w:hAnsi="Arial"/>
          <w:b/>
          <w:bCs/>
          <w:color w:val="1A6B2A"/>
          <w:sz w:val="26"/>
          <w:szCs w:val="26"/>
        </w:rPr>
        <w:t xml:space="preserve">2.2 Perimetre initial -- 3 indicateurs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2626"/>
      </w:tblGrid>
      <w:tr>
        <w:tc>
          <w:tcPr>
            <w:tcW w:type="dxa" w:w="28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Indicateur</w:t>
            </w:r>
          </w:p>
        </w:tc>
        <w:tc>
          <w:tcPr>
            <w:tcW w:type="dxa" w:w="16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Pilier</w:t>
            </w:r>
          </w:p>
        </w:tc>
        <w:tc>
          <w:tcPr>
            <w:tcW w:type="dxa" w:w="20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Couverture</w:t>
            </w:r>
          </w:p>
        </w:tc>
        <w:tc>
          <w:tcPr>
            <w:tcW w:type="dxa" w:w="2626"/>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Statut</w:t>
            </w:r>
          </w:p>
        </w:tc>
      </w:tr>
      <w:tr>
        <w:tc>
          <w:tcPr>
            <w:tcW w:type="dxa" w:w="28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PHUM_VALUE_CAPTURE</w:t>
            </w:r>
          </w:p>
        </w:tc>
        <w:tc>
          <w:tcPr>
            <w:tcW w:type="dxa" w:w="16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PHUM</w:t>
            </w:r>
          </w:p>
        </w:tc>
        <w:tc>
          <w:tcPr>
            <w:tcW w:type="dxa" w:w="20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54 pays 2010-2024</w:t>
            </w:r>
          </w:p>
        </w:tc>
        <w:tc>
          <w:tcPr>
            <w:tcW w:type="dxa" w:w="26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6B2A"/>
                <w:sz w:val="20"/>
                <w:szCs w:val="20"/>
              </w:rPr>
              <w:t xml:space="preserve">COMPLETE</w:t>
            </w:r>
          </w:p>
        </w:tc>
      </w:tr>
      <w:tr>
        <w:tc>
          <w:tcPr>
            <w:tcW w:type="dxa" w:w="28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PMIN_VALUE_LEAKAGE</w:t>
            </w:r>
          </w:p>
        </w:tc>
        <w:tc>
          <w:tcPr>
            <w:tcW w:type="dxa" w:w="16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PMIN</w:t>
            </w:r>
          </w:p>
        </w:tc>
        <w:tc>
          <w:tcPr>
            <w:tcW w:type="dxa" w:w="20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54 pays 2010-2024</w:t>
            </w:r>
          </w:p>
        </w:tc>
        <w:tc>
          <w:tcPr>
            <w:tcW w:type="dxa" w:w="26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6B2A"/>
                <w:sz w:val="20"/>
                <w:szCs w:val="20"/>
              </w:rPr>
              <w:t xml:space="preserve">COMPLETE</w:t>
            </w:r>
          </w:p>
        </w:tc>
      </w:tr>
      <w:tr>
        <w:tc>
          <w:tcPr>
            <w:tcW w:type="dxa" w:w="28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PMIN_SMUGGLING_SIGNAL_RANK</w:t>
            </w:r>
          </w:p>
        </w:tc>
        <w:tc>
          <w:tcPr>
            <w:tcW w:type="dxa" w:w="16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PMIN</w:t>
            </w:r>
          </w:p>
        </w:tc>
        <w:tc>
          <w:tcPr>
            <w:tcW w:type="dxa" w:w="20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37 pays 2016-2021</w:t>
            </w:r>
          </w:p>
        </w:tc>
        <w:tc>
          <w:tcPr>
            <w:tcW w:type="dxa" w:w="26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C8973A"/>
                <w:sz w:val="20"/>
                <w:szCs w:val="20"/>
              </w:rPr>
              <w:t xml:space="preserve">PARTIELLE</w:t>
            </w:r>
          </w:p>
        </w:tc>
      </w:tr>
    </w:tbl>
    <w:p>
      <w:pPr>
        <w:spacing w:after="80" w:before="80"/>
      </w:pPr>
      <w:r>
        <w:t xml:space="preserve"/>
      </w:r>
    </w:p>
    <w:p>
      <w:pPr>
        <w:pStyle w:val="Heading2"/>
        <w:spacing w:after="120" w:before="280"/>
      </w:pPr>
      <w:r>
        <w:rPr>
          <w:rFonts w:ascii="Arial" w:cs="Arial" w:eastAsia="Arial" w:hAnsi="Arial"/>
          <w:b/>
          <w:bCs/>
          <w:color w:val="1A6B2A"/>
          <w:sz w:val="26"/>
          <w:szCs w:val="26"/>
        </w:rPr>
        <w:t xml:space="preserve">2.3 Decision doctrinale -- IOSA et ISA</w:t>
      </w:r>
    </w:p>
    <w:p>
      <w:pPr>
        <w:spacing w:after="100" w:before="60"/>
      </w:pPr>
      <w:r>
        <w:rPr>
          <w:rFonts w:ascii="Arial" w:cs="Arial" w:eastAsia="Arial" w:hAnsi="Arial"/>
          <w:color w:val="1A2A1A"/>
          <w:sz w:val="20"/>
          <w:szCs w:val="20"/>
        </w:rPr>
        <w:t xml:space="preserve">ISA et IOSA reposent sur des bases de calcul fondamentalement differentes :</w:t>
      </w:r>
    </w:p>
    <w:p>
      <w:pPr>
        <w:pStyle w:val="ListParagraph"/>
        <w:numPr>
          <w:ilvl w:val="0"/>
          <w:numId w:val="2"/>
        </w:numPr>
        <w:spacing w:after="40" w:before="40"/>
      </w:pPr>
      <w:r>
        <w:rPr>
          <w:rFonts w:ascii="Arial" w:cs="Arial" w:eastAsia="Arial" w:hAnsi="Arial"/>
          <w:color w:val="1A2A1A"/>
          <w:sz w:val="20"/>
          <w:szCs w:val="20"/>
        </w:rPr>
        <w:t xml:space="preserve">ISA : normalisation min-max, agregation par pilier, scores 0-1 comparables dans le temps</w:t>
      </w:r>
    </w:p>
    <w:p>
      <w:pPr>
        <w:pStyle w:val="ListParagraph"/>
        <w:numPr>
          <w:ilvl w:val="0"/>
          <w:numId w:val="2"/>
        </w:numPr>
        <w:spacing w:after="40" w:before="40"/>
      </w:pPr>
      <w:r>
        <w:rPr>
          <w:rFonts w:ascii="Arial" w:cs="Arial" w:eastAsia="Arial" w:hAnsi="Arial"/>
          <w:color w:val="1A2A1A"/>
          <w:sz w:val="20"/>
          <w:szCs w:val="20"/>
        </w:rPr>
        <w:t xml:space="preserve">IOSA : la valeur source EST la valeur publiee -- aucun calcul intermediaire, aucune imputation</w:t>
      </w:r>
    </w:p>
    <w:p>
      <w:pPr>
        <w:spacing w:after="100" w:before="60"/>
      </w:pPr>
      <w:r>
        <w:rPr>
          <w:rFonts w:ascii="Arial" w:cs="Arial" w:eastAsia="Arial" w:hAnsi="Arial"/>
          <w:color w:val="1A2A1A"/>
          <w:sz w:val="20"/>
          <w:szCs w:val="20"/>
        </w:rPr>
        <w:t xml:space="preserve">Un delta IOSA n'est pas un score. C'est une mesure brute dans son unite naturelle (%, rang, ecart commercial).</w:t>
      </w:r>
    </w:p>
    <w:p>
      <w:pPr>
        <w:spacing w:after="80" w:before="80"/>
      </w:pPr>
      <w:r>
        <w:t xml:space="preserve"/>
      </w:r>
    </w:p>
    <w:p>
      <w:pPr>
        <w:pStyle w:val="Heading1"/>
        <w:pBdr>
          <w:bottom w:val="single" w:color="C8973A" w:sz="8" w:space="1"/>
        </w:pBdr>
        <w:spacing w:after="200" w:before="400"/>
      </w:pPr>
      <w:r>
        <w:rPr>
          <w:rFonts w:ascii="Arial" w:cs="Arial" w:eastAsia="Arial" w:hAnsi="Arial"/>
          <w:b/>
          <w:bCs/>
          <w:color w:val="0F4A1A"/>
          <w:sz w:val="34"/>
          <w:szCs w:val="34"/>
        </w:rPr>
        <w:t xml:space="preserve">3. Sprint 28 — Infrastructure Technique</w:t>
      </w:r>
    </w:p>
    <w:p>
      <w:pPr>
        <w:pStyle w:val="Heading2"/>
        <w:spacing w:after="120" w:before="280"/>
      </w:pPr>
      <w:r>
        <w:rPr>
          <w:rFonts w:ascii="Arial" w:cs="Arial" w:eastAsia="Arial" w:hAnsi="Arial"/>
          <w:b/>
          <w:bCs/>
          <w:color w:val="1A6B2A"/>
          <w:sz w:val="26"/>
          <w:szCs w:val="26"/>
        </w:rPr>
        <w:t xml:space="preserve">3.1 Lot A — Endpoint /api/v2/sovereignty/structural-obs</w:t>
      </w:r>
    </w:p>
    <w:p>
      <w:pPr>
        <w:spacing w:after="100" w:before="60"/>
      </w:pPr>
      <w:r>
        <w:rPr>
          <w:rFonts w:ascii="Arial" w:cs="Arial" w:eastAsia="Arial" w:hAnsi="Arial"/>
          <w:color w:val="1A2A1A"/>
          <w:sz w:val="20"/>
          <w:szCs w:val="20"/>
        </w:rPr>
        <w:t xml:space="preserve">Deux routes FastAPI deployees en production, lisant ma.indicator_values (L3) pour PHUM et PMIN_VALUE_LEAKAGE, et collect.raw_data (L1) pour PMIN_SMUGGLING_SIGNAL_RANK :</w:t>
      </w:r>
    </w:p>
    <w:p>
      <w:pPr>
        <w:pStyle w:val="ListParagraph"/>
        <w:numPr>
          <w:ilvl w:val="0"/>
          <w:numId w:val="2"/>
        </w:numPr>
        <w:spacing w:after="40" w:before="40"/>
      </w:pPr>
      <w:r>
        <w:rPr>
          <w:rFonts w:ascii="Arial" w:cs="Arial" w:eastAsia="Arial" w:hAnsi="Arial"/>
          <w:color w:val="1A2A1A"/>
          <w:sz w:val="20"/>
          <w:szCs w:val="20"/>
        </w:rPr>
        <w:t xml:space="preserve">GET /api/v2/sovereignty/structural-obs -- tous pays</w:t>
      </w:r>
    </w:p>
    <w:p>
      <w:pPr>
        <w:pStyle w:val="ListParagraph"/>
        <w:numPr>
          <w:ilvl w:val="0"/>
          <w:numId w:val="2"/>
        </w:numPr>
        <w:spacing w:after="40" w:before="40"/>
      </w:pPr>
      <w:r>
        <w:rPr>
          <w:rFonts w:ascii="Arial" w:cs="Arial" w:eastAsia="Arial" w:hAnsi="Arial"/>
          <w:color w:val="1A2A1A"/>
          <w:sz w:val="20"/>
          <w:szCs w:val="20"/>
        </w:rPr>
        <w:t xml:space="preserve">GET /api/v2/sovereignty/structural-obs/{iso3} -- pays unique</w:t>
      </w:r>
    </w:p>
    <w:p>
      <w:pPr>
        <w:spacing w:after="100" w:before="60"/>
      </w:pPr>
      <w:r>
        <w:rPr>
          <w:rFonts w:ascii="Arial" w:cs="Arial" w:eastAsia="Arial" w:hAnsi="Arial"/>
          <w:color w:val="1A2A1A"/>
          <w:sz w:val="20"/>
          <w:szCs w:val="20"/>
        </w:rPr>
        <w:t xml:space="preserve">Champs exposes : indicator_label (francais), observed_value, raw_value, confidence_score, value_status, publication_status. Aucun label technique interne.</w:t>
      </w:r>
    </w:p>
    <w:p>
      <w:pPr>
        <w:spacing w:after="80" w:before="80"/>
      </w:pPr>
      <w:r>
        <w:t xml:space="preserve"/>
      </w:r>
    </w:p>
    <w:p>
      <w:pPr>
        <w:pStyle w:val="Heading2"/>
        <w:spacing w:after="120" w:before="280"/>
      </w:pPr>
      <w:r>
        <w:rPr>
          <w:rFonts w:ascii="Arial" w:cs="Arial" w:eastAsia="Arial" w:hAnsi="Arial"/>
          <w:b/>
          <w:bCs/>
          <w:color w:val="1A6B2A"/>
          <w:sz w:val="26"/>
          <w:szCs w:val="26"/>
        </w:rPr>
        <w:t xml:space="preserve">3.2 Lot B -- weakness_score_raw (GAF #24)</w:t>
      </w:r>
    </w:p>
    <w:p>
      <w:pPr>
        <w:spacing w:after="100" w:before="60"/>
      </w:pPr>
      <w:r>
        <w:rPr>
          <w:rFonts w:ascii="Arial" w:cs="Arial" w:eastAsia="Arial" w:hAnsi="Arial"/>
          <w:color w:val="1A2A1A"/>
          <w:sz w:val="20"/>
          <w:szCs w:val="20"/>
        </w:rPr>
        <w:t xml:space="preserve">Ajout de weakness_score_raw dans ma.v_p7i_risk_source via CREATE OR REPLACE VIEW (non destructif). Ce champ expose la valeur brute avant COALESCE -- distinguant zero reel et donnee manquante. Les 4 vues dependantes sont preservees.</w:t>
      </w:r>
    </w:p>
    <w:p>
      <w:pPr>
        <w:spacing w:after="80" w:before="80"/>
      </w:pPr>
      <w:r>
        <w:t xml:space="preserve"/>
      </w:r>
    </w:p>
    <w:p>
      <w:pPr>
        <w:pStyle w:val="Heading2"/>
        <w:spacing w:after="120" w:before="280"/>
      </w:pPr>
      <w:r>
        <w:rPr>
          <w:rFonts w:ascii="Arial" w:cs="Arial" w:eastAsia="Arial" w:hAnsi="Arial"/>
          <w:b/>
          <w:bCs/>
          <w:color w:val="1A6B2A"/>
          <w:sz w:val="26"/>
          <w:szCs w:val="26"/>
        </w:rPr>
        <w:t xml:space="preserve">3.3 Lot C -- GAF #21 GENECO Rule 4 (ORIENTED)</w:t>
      </w:r>
    </w:p>
    <w:p>
      <w:pPr>
        <w:spacing w:after="100" w:before="60"/>
      </w:pPr>
      <w:r>
        <w:rPr>
          <w:rFonts w:ascii="Arial" w:cs="Arial" w:eastAsia="Arial" w:hAnsi="Arial"/>
          <w:color w:val="1A2A1A"/>
          <w:sz w:val="20"/>
          <w:szCs w:val="20"/>
        </w:rPr>
        <w:t xml:space="preserve">Decision doctrinale du Conseil technique OSA -- 25 juin 2026 :</w:t>
      </w:r>
    </w:p>
    <w:p>
      <w:pPr>
        <w:pStyle w:val="ListParagraph"/>
        <w:numPr>
          <w:ilvl w:val="0"/>
          <w:numId w:val="2"/>
        </w:numPr>
        <w:spacing w:after="40" w:before="40"/>
      </w:pPr>
      <w:r>
        <w:rPr>
          <w:rFonts w:ascii="Arial" w:cs="Arial" w:eastAsia="Arial" w:hAnsi="Arial"/>
          <w:color w:val="1A2A1A"/>
          <w:sz w:val="20"/>
          <w:szCs w:val="20"/>
        </w:rPr>
        <w:t xml:space="preserve">THR exclu de Rule 4 GENECO -- concept AMAR incompatible avec la logique de mecanisme</w:t>
      </w:r>
    </w:p>
    <w:p>
      <w:pPr>
        <w:pStyle w:val="ListParagraph"/>
        <w:numPr>
          <w:ilvl w:val="0"/>
          <w:numId w:val="2"/>
        </w:numPr>
        <w:spacing w:after="40" w:before="40"/>
      </w:pPr>
      <w:r>
        <w:rPr>
          <w:rFonts w:ascii="Arial" w:cs="Arial" w:eastAsia="Arial" w:hAnsi="Arial"/>
          <w:color w:val="1A2A1A"/>
          <w:sz w:val="20"/>
          <w:szCs w:val="20"/>
        </w:rPr>
        <w:t xml:space="preserve">Rule 4 GENECO actee : audit annuel des configurations economiques significatives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4D4" w:sz="1"/>
              <w:left w:val="single" w:color="D4E4D4" w:sz="1"/>
              <w:bottom w:val="single" w:color="D4E4D4" w:sz="1"/>
              <w:right w:val="single" w:color="D4E4D4" w:sz="1"/>
            </w:tcBorders>
            <w:shd w:fill="F4F8F4" w:val="clear"/>
            <w:tcMar>
              <w:top w:type="dxa" w:w="140"/>
              <w:left w:type="dxa" w:w="200"/>
              <w:bottom w:type="dxa" w:w="140"/>
              <w:right w:type="dxa" w:w="200"/>
            </w:tcMar>
          </w:tcPr>
          <w:p>
            <w:pPr>
              <w:spacing w:after="60" w:before="60"/>
            </w:pPr>
            <w:r>
              <w:rPr>
                <w:rFonts w:ascii="Arial" w:cs="Arial" w:eastAsia="Arial" w:hAnsi="Arial"/>
                <w:b/>
                <w:bCs/>
                <w:color w:val="0F4A1A"/>
                <w:sz w:val="20"/>
                <w:szCs w:val="20"/>
              </w:rPr>
              <w:t xml:space="preserve">Definition actee -- Configuration economique significative :</w:t>
            </w:r>
          </w:p>
          <w:p>
            <w:pPr>
              <w:spacing w:after="60" w:before="80"/>
            </w:pPr>
            <w:r>
              <w:rPr>
                <w:rFonts w:ascii="Arial" w:cs="Arial" w:eastAsia="Arial" w:hAnsi="Arial"/>
                <w:i/>
                <w:iCs/>
                <w:color w:val="1A2A1A"/>
                <w:sz w:val="20"/>
                <w:szCs w:val="20"/>
              </w:rPr>
              <w:t xml:space="preserve">Une combinaison coherente de phenomenes observables ayant une materialite mesurable, dont l'analyse laisse raisonnablement supposer l'existence d'un mecanisme economique susceptible de fragiliser durablement l'exercice de la souverainete d'un Etat dans un contexte de conflit. Cette definition est independante de tout algorithme.</w:t>
            </w:r>
          </w:p>
        </w:tc>
      </w:tr>
    </w:tbl>
    <w:p>
      <w:pPr>
        <w:spacing w:after="80" w:before="80"/>
      </w:pPr>
      <w:r>
        <w:t xml:space="preserve"/>
      </w:r>
    </w:p>
    <w:p>
      <w:pPr>
        <w:pStyle w:val="Heading1"/>
        <w:pBdr>
          <w:bottom w:val="single" w:color="C8973A" w:sz="8" w:space="1"/>
        </w:pBdr>
        <w:spacing w:after="200" w:before="400"/>
      </w:pPr>
      <w:r>
        <w:rPr>
          <w:rFonts w:ascii="Arial" w:cs="Arial" w:eastAsia="Arial" w:hAnsi="Arial"/>
          <w:b/>
          <w:bCs/>
          <w:color w:val="0F4A1A"/>
          <w:sz w:val="34"/>
          <w:szCs w:val="34"/>
        </w:rPr>
        <w:t xml:space="preserve">4. Sprint 29 — Exposition Publique</w:t>
      </w:r>
    </w:p>
    <w:p>
      <w:pPr>
        <w:pStyle w:val="Heading2"/>
        <w:spacing w:after="120" w:before="280"/>
      </w:pPr>
      <w:r>
        <w:rPr>
          <w:rFonts w:ascii="Arial" w:cs="Arial" w:eastAsia="Arial" w:hAnsi="Arial"/>
          <w:b/>
          <w:bCs/>
          <w:color w:val="1A6B2A"/>
          <w:sz w:val="26"/>
          <w:szCs w:val="26"/>
        </w:rPr>
        <w:t xml:space="preserve">4.1 Portail IOSA -- open.osa-observatory.africa</w:t>
      </w:r>
    </w:p>
    <w:p>
      <w:pPr>
        <w:spacing w:after="100" w:before="60"/>
      </w:pPr>
      <w:r>
        <w:rPr>
          <w:rFonts w:ascii="Arial" w:cs="Arial" w:eastAsia="Arial" w:hAnsi="Arial"/>
          <w:color w:val="1A2A1A"/>
          <w:sz w:val="20"/>
          <w:szCs w:val="20"/>
        </w:rPr>
        <w:t xml:space="preserve">La fiche pays integre desormais une ligne IOSA dans le tableau de bord souverain, avec navigation vers la page detail. La page IosaDetail affiche :</w:t>
      </w:r>
    </w:p>
    <w:p>
      <w:pPr>
        <w:pStyle w:val="ListParagraph"/>
        <w:numPr>
          <w:ilvl w:val="0"/>
          <w:numId w:val="2"/>
        </w:numPr>
        <w:spacing w:after="40" w:before="40"/>
      </w:pPr>
      <w:r>
        <w:rPr>
          <w:rFonts w:ascii="Arial" w:cs="Arial" w:eastAsia="Arial" w:hAnsi="Arial"/>
          <w:color w:val="1A2A1A"/>
          <w:sz w:val="20"/>
          <w:szCs w:val="20"/>
        </w:rPr>
        <w:t xml:space="preserve">Tableau des observations disponibles avec statut et tendance directionnelle</w:t>
      </w:r>
    </w:p>
    <w:p>
      <w:pPr>
        <w:pStyle w:val="ListParagraph"/>
        <w:numPr>
          <w:ilvl w:val="0"/>
          <w:numId w:val="2"/>
        </w:numPr>
        <w:spacing w:after="40" w:before="40"/>
      </w:pPr>
      <w:r>
        <w:rPr>
          <w:rFonts w:ascii="Arial" w:cs="Arial" w:eastAsia="Arial" w:hAnsi="Arial"/>
          <w:color w:val="1A2A1A"/>
          <w:sz w:val="20"/>
          <w:szCs w:val="20"/>
        </w:rPr>
        <w:t xml:space="preserve">Fiche indicateur : delta comme metrique centrale (Fuite declaree %, Retention %, Rang de suspicion)</w:t>
      </w:r>
    </w:p>
    <w:p>
      <w:pPr>
        <w:pStyle w:val="ListParagraph"/>
        <w:numPr>
          <w:ilvl w:val="0"/>
          <w:numId w:val="2"/>
        </w:numPr>
        <w:spacing w:after="40" w:before="40"/>
      </w:pPr>
      <w:r>
        <w:rPr>
          <w:rFonts w:ascii="Arial" w:cs="Arial" w:eastAsia="Arial" w:hAnsi="Arial"/>
          <w:color w:val="1A2A1A"/>
          <w:sz w:val="20"/>
          <w:szCs w:val="20"/>
        </w:rPr>
        <w:t xml:space="preserve">Trois etats doctrinaux : Observe / Non observe / Hors perimetre</w:t>
      </w:r>
    </w:p>
    <w:p>
      <w:pPr>
        <w:pStyle w:val="ListParagraph"/>
        <w:numPr>
          <w:ilvl w:val="0"/>
          <w:numId w:val="2"/>
        </w:numPr>
        <w:spacing w:after="40" w:before="40"/>
      </w:pPr>
      <w:r>
        <w:rPr>
          <w:rFonts w:ascii="Arial" w:cs="Arial" w:eastAsia="Arial" w:hAnsi="Arial"/>
          <w:color w:val="1A2A1A"/>
          <w:sz w:val="20"/>
          <w:szCs w:val="20"/>
        </w:rPr>
        <w:t xml:space="preserve">Lien vers les projets structurants associes par pilier</w:t>
      </w:r>
    </w:p>
    <w:p>
      <w:pPr>
        <w:pStyle w:val="ListParagraph"/>
        <w:numPr>
          <w:ilvl w:val="0"/>
          <w:numId w:val="2"/>
        </w:numPr>
        <w:spacing w:after="40" w:before="40"/>
      </w:pPr>
      <w:r>
        <w:rPr>
          <w:rFonts w:ascii="Arial" w:cs="Arial" w:eastAsia="Arial" w:hAnsi="Arial"/>
          <w:color w:val="1A2A1A"/>
          <w:sz w:val="20"/>
          <w:szCs w:val="20"/>
        </w:rPr>
        <w:t xml:space="preserve">Bilingue EN/FR -- couleurs OSA vert #1A6B2A / or #C8973A</w:t>
      </w:r>
    </w:p>
    <w:p>
      <w:pPr>
        <w:spacing w:after="80" w:before="80"/>
      </w:pPr>
      <w:r>
        <w:t xml:space="preserve"/>
      </w:r>
    </w:p>
    <w:p>
      <w:pPr>
        <w:pStyle w:val="Heading2"/>
        <w:spacing w:after="120" w:before="280"/>
      </w:pPr>
      <w:r>
        <w:rPr>
          <w:rFonts w:ascii="Arial" w:cs="Arial" w:eastAsia="Arial" w:hAnsi="Arial"/>
          <w:b/>
          <w:bCs/>
          <w:color w:val="1A6B2A"/>
          <w:sz w:val="26"/>
          <w:szCs w:val="26"/>
        </w:rPr>
        <w:t xml:space="preserve">4.2 Performance -- Vues materialisees AMAR et GENECO</w:t>
      </w:r>
    </w:p>
    <w:p>
      <w:pPr>
        <w:spacing w:after="100" w:before="60"/>
      </w:pPr>
      <w:r>
        <w:rPr>
          <w:rFonts w:ascii="Arial" w:cs="Arial" w:eastAsia="Arial" w:hAnsi="Arial"/>
          <w:color w:val="1A2A1A"/>
          <w:sz w:val="20"/>
          <w:szCs w:val="20"/>
        </w:rPr>
        <w:t xml:space="preserve">Les vues analytiques simples produisaient des temps de reponse incompatibles avec un usage public. Deux vues materialisees ont ete creees, restreintes a la periode de publication officielle 2020-2024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1826"/>
      </w:tblGrid>
      <w:tr>
        <w:tc>
          <w:tcPr>
            <w:tcW w:type="dxa" w:w="32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Endpoint</w:t>
            </w:r>
          </w:p>
        </w:tc>
        <w:tc>
          <w:tcPr>
            <w:tcW w:type="dxa" w:w="20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Avant</w:t>
            </w:r>
          </w:p>
        </w:tc>
        <w:tc>
          <w:tcPr>
            <w:tcW w:type="dxa" w:w="20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Apres</w:t>
            </w:r>
          </w:p>
        </w:tc>
        <w:tc>
          <w:tcPr>
            <w:tcW w:type="dxa" w:w="1826"/>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Gain</w:t>
            </w:r>
          </w:p>
        </w:tc>
      </w:tr>
      <w:tr>
        <w:tc>
          <w:tcPr>
            <w:tcW w:type="dxa" w:w="32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GET /early-warning/amar/{iso3}</w:t>
            </w:r>
          </w:p>
        </w:tc>
        <w:tc>
          <w:tcPr>
            <w:tcW w:type="dxa" w:w="20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B00020"/>
                <w:sz w:val="20"/>
                <w:szCs w:val="20"/>
              </w:rPr>
              <w:t xml:space="preserve">1m 52s</w:t>
            </w:r>
          </w:p>
        </w:tc>
        <w:tc>
          <w:tcPr>
            <w:tcW w:type="dxa" w:w="20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6B2A"/>
                <w:sz w:val="20"/>
                <w:szCs w:val="20"/>
              </w:rPr>
              <w:t xml:space="preserve">42ms</w:t>
            </w:r>
          </w:p>
        </w:tc>
        <w:tc>
          <w:tcPr>
            <w:tcW w:type="dxa" w:w="18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C8973A"/>
                <w:sz w:val="20"/>
                <w:szCs w:val="20"/>
              </w:rPr>
              <w:t xml:space="preserve">x2700</w:t>
            </w:r>
          </w:p>
        </w:tc>
      </w:tr>
      <w:tr>
        <w:tc>
          <w:tcPr>
            <w:tcW w:type="dxa" w:w="32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GET /early-warning/geneco/{iso3}</w:t>
            </w:r>
          </w:p>
        </w:tc>
        <w:tc>
          <w:tcPr>
            <w:tcW w:type="dxa" w:w="20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B00020"/>
                <w:sz w:val="20"/>
                <w:szCs w:val="20"/>
              </w:rPr>
              <w:t xml:space="preserve">47s</w:t>
            </w:r>
          </w:p>
        </w:tc>
        <w:tc>
          <w:tcPr>
            <w:tcW w:type="dxa" w:w="20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6B2A"/>
                <w:sz w:val="20"/>
                <w:szCs w:val="20"/>
              </w:rPr>
              <w:t xml:space="preserve">39ms</w:t>
            </w:r>
          </w:p>
        </w:tc>
        <w:tc>
          <w:tcPr>
            <w:tcW w:type="dxa" w:w="18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C8973A"/>
                <w:sz w:val="20"/>
                <w:szCs w:val="20"/>
              </w:rPr>
              <w:t xml:space="preserve">x1200</w:t>
            </w:r>
          </w:p>
        </w:tc>
      </w:tr>
      <w:tr>
        <w:tc>
          <w:tcPr>
            <w:tcW w:type="dxa" w:w="32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GET /early-warning/composite/{iso3}</w:t>
            </w:r>
          </w:p>
        </w:tc>
        <w:tc>
          <w:tcPr>
            <w:tcW w:type="dxa" w:w="20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5A7A5A"/>
                <w:sz w:val="20"/>
                <w:szCs w:val="20"/>
              </w:rPr>
              <w:t xml:space="preserve">74ms</w:t>
            </w:r>
          </w:p>
        </w:tc>
        <w:tc>
          <w:tcPr>
            <w:tcW w:type="dxa" w:w="20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6B2A"/>
                <w:sz w:val="20"/>
                <w:szCs w:val="20"/>
              </w:rPr>
              <w:t xml:space="preserve">74ms</w:t>
            </w:r>
          </w:p>
        </w:tc>
        <w:tc>
          <w:tcPr>
            <w:tcW w:type="dxa" w:w="18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5A7A5A"/>
                <w:sz w:val="20"/>
                <w:szCs w:val="20"/>
              </w:rPr>
              <w:t xml:space="preserve">—</w:t>
            </w:r>
          </w:p>
        </w:tc>
      </w:tr>
      <w:tr>
        <w:tc>
          <w:tcPr>
            <w:tcW w:type="dxa" w:w="32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GET /sovereignty/structural-obs/{iso3}</w:t>
            </w:r>
          </w:p>
        </w:tc>
        <w:tc>
          <w:tcPr>
            <w:tcW w:type="dxa" w:w="20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5A7A5A"/>
                <w:sz w:val="20"/>
                <w:szCs w:val="20"/>
              </w:rPr>
              <w:t xml:space="preserve">—</w:t>
            </w:r>
          </w:p>
        </w:tc>
        <w:tc>
          <w:tcPr>
            <w:tcW w:type="dxa" w:w="20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6B2A"/>
                <w:sz w:val="20"/>
                <w:szCs w:val="20"/>
              </w:rPr>
              <w:t xml:space="preserve">~50ms</w:t>
            </w:r>
          </w:p>
        </w:tc>
        <w:tc>
          <w:tcPr>
            <w:tcW w:type="dxa" w:w="18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5A7A5A"/>
                <w:sz w:val="20"/>
                <w:szCs w:val="20"/>
              </w:rPr>
              <w:t xml:space="preserve">Nouveau</w:t>
            </w:r>
          </w:p>
        </w:tc>
      </w:tr>
    </w:tbl>
    <w:p>
      <w:pPr>
        <w:spacing w:after="80" w:before="80"/>
      </w:pPr>
      <w:r>
        <w:t xml:space="preserve"/>
      </w:r>
    </w:p>
    <w:p>
      <w:pPr>
        <w:pStyle w:val="Heading2"/>
        <w:spacing w:after="120" w:before="280"/>
      </w:pPr>
      <w:r>
        <w:rPr>
          <w:rFonts w:ascii="Arial" w:cs="Arial" w:eastAsia="Arial" w:hAnsi="Arial"/>
          <w:b/>
          <w:bCs/>
          <w:color w:val="1A6B2A"/>
          <w:sz w:val="26"/>
          <w:szCs w:val="26"/>
        </w:rPr>
        <w:t xml:space="preserve">4.3 AMAR et GENECO -- Facteurs observes</w:t>
      </w:r>
    </w:p>
    <w:p>
      <w:pPr>
        <w:spacing w:after="100" w:before="60"/>
      </w:pPr>
      <w:r>
        <w:rPr>
          <w:rFonts w:ascii="Arial" w:cs="Arial" w:eastAsia="Arial" w:hAnsi="Arial"/>
          <w:color w:val="1A2A1A"/>
          <w:sz w:val="20"/>
          <w:szCs w:val="20"/>
        </w:rPr>
        <w:t xml:space="preserve">Les pages detail AMAR et GENECO ont ete refondues pour afficher les facteurs observes avec leurs vraies valeurs issues des vues materialisees -- plus de bullets statiques sans donnees :</w:t>
      </w:r>
    </w:p>
    <w:p>
      <w:pPr>
        <w:pStyle w:val="ListParagraph"/>
        <w:numPr>
          <w:ilvl w:val="0"/>
          <w:numId w:val="2"/>
        </w:numPr>
        <w:spacing w:after="40" w:before="40"/>
      </w:pPr>
      <w:r>
        <w:rPr>
          <w:rFonts w:ascii="Arial" w:cs="Arial" w:eastAsia="Arial" w:hAnsi="Arial"/>
          <w:color w:val="1A2A1A"/>
          <w:sz w:val="20"/>
          <w:szCs w:val="20"/>
        </w:rPr>
        <w:t xml:space="preserve">AMAR : 6 facteurs observes (structural_fragility, conflict_escalation, governance_breakdown, humanitarian_stress, resource_conflict, information_polarization)</w:t>
      </w:r>
    </w:p>
    <w:p>
      <w:pPr>
        <w:pStyle w:val="ListParagraph"/>
        <w:numPr>
          <w:ilvl w:val="0"/>
          <w:numId w:val="2"/>
        </w:numPr>
        <w:spacing w:after="40" w:before="40"/>
      </w:pPr>
      <w:r>
        <w:rPr>
          <w:rFonts w:ascii="Arial" w:cs="Arial" w:eastAsia="Arial" w:hAnsi="Arial"/>
          <w:color w:val="1A2A1A"/>
          <w:sz w:val="20"/>
          <w:szCs w:val="20"/>
        </w:rPr>
        <w:t xml:space="preserve">GENECO : 5 facteurs observes (resource_capture, logistics_enabling, institutional_capture, civilian_exploitation, narrative_weaponization)</w:t>
      </w:r>
    </w:p>
    <w:p>
      <w:pPr>
        <w:pStyle w:val="ListParagraph"/>
        <w:numPr>
          <w:ilvl w:val="0"/>
          <w:numId w:val="2"/>
        </w:numPr>
        <w:spacing w:after="40" w:before="40"/>
      </w:pPr>
      <w:r>
        <w:rPr>
          <w:rFonts w:ascii="Arial" w:cs="Arial" w:eastAsia="Arial" w:hAnsi="Arial"/>
          <w:color w:val="1A2A1A"/>
          <w:sz w:val="20"/>
          <w:szCs w:val="20"/>
        </w:rPr>
        <w:t xml:space="preserve">Couverture 54/54 pays sur 2020-2024 pour les deux modules</w:t>
      </w:r>
    </w:p>
    <w:p>
      <w:pPr>
        <w:spacing w:after="80" w:before="80"/>
      </w:pPr>
      <w:r>
        <w:t xml:space="preserve"/>
      </w:r>
    </w:p>
    <w:p>
      <w:pPr>
        <w:pStyle w:val="Heading2"/>
        <w:spacing w:after="120" w:before="280"/>
      </w:pPr>
      <w:r>
        <w:rPr>
          <w:rFonts w:ascii="Arial" w:cs="Arial" w:eastAsia="Arial" w:hAnsi="Arial"/>
          <w:b/>
          <w:bCs/>
          <w:color w:val="1A6B2A"/>
          <w:sz w:val="26"/>
          <w:szCs w:val="26"/>
        </w:rPr>
        <w:t xml:space="preserve">4.4 Index des 10 piliers</w:t>
      </w:r>
    </w:p>
    <w:p>
      <w:pPr>
        <w:spacing w:after="100" w:before="60"/>
      </w:pPr>
      <w:r>
        <w:rPr>
          <w:rFonts w:ascii="Arial" w:cs="Arial" w:eastAsia="Arial" w:hAnsi="Arial"/>
          <w:color w:val="1A2A1A"/>
          <w:sz w:val="20"/>
          <w:szCs w:val="20"/>
        </w:rPr>
        <w:t xml:space="preserve">Une page /pillars autonome a ete creee et integree dans la navigation principale. Elle presente les 10 piliers en grille avec definition courte et lien vers la fiche pilier complete. Les piliers sont doctrinalement distincts de la page 'A propos' -- ils constituent le referentiel scientifique de l'ISA.</w:t>
      </w:r>
    </w:p>
    <w:p>
      <w:pPr>
        <w:spacing w:after="80" w:before="80"/>
      </w:pPr>
      <w:r>
        <w:t xml:space="preserve"/>
      </w:r>
    </w:p>
    <w:p>
      <w:pPr>
        <w:pStyle w:val="Heading1"/>
        <w:pBdr>
          <w:bottom w:val="single" w:color="C8973A" w:sz="8" w:space="1"/>
        </w:pBdr>
        <w:spacing w:after="200" w:before="400"/>
      </w:pPr>
      <w:r>
        <w:rPr>
          <w:rFonts w:ascii="Arial" w:cs="Arial" w:eastAsia="Arial" w:hAnsi="Arial"/>
          <w:b/>
          <w:bCs/>
          <w:color w:val="0F4A1A"/>
          <w:sz w:val="34"/>
          <w:szCs w:val="34"/>
        </w:rPr>
        <w:t xml:space="preserve">5. Etat du GAF apres Sprint 29</w:t>
      </w:r>
    </w:p>
    <w:p>
      <w:pPr>
        <w:spacing w:after="100" w:before="60"/>
      </w:pPr>
      <w:r>
        <w:rPr>
          <w:rFonts w:ascii="Arial" w:cs="Arial" w:eastAsia="Arial" w:hAnsi="Arial"/>
          <w:color w:val="1A2A1A"/>
          <w:sz w:val="20"/>
          <w:szCs w:val="20"/>
        </w:rPr>
        <w:t xml:space="preserve">Tous les findings actifs sont en statut ORIENTED. Aucun finding OPEN ne subsiste.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400"/>
        <w:gridCol w:w="3726"/>
      </w:tblGrid>
      <w:tr>
        <w:tc>
          <w:tcPr>
            <w:tcW w:type="dxa" w:w="5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t>
            </w:r>
          </w:p>
        </w:tc>
        <w:tc>
          <w:tcPr>
            <w:tcW w:type="dxa" w:w="34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Code</w:t>
            </w:r>
          </w:p>
        </w:tc>
        <w:tc>
          <w:tcPr>
            <w:tcW w:type="dxa" w:w="14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Statut</w:t>
            </w:r>
          </w:p>
        </w:tc>
        <w:tc>
          <w:tcPr>
            <w:tcW w:type="dxa" w:w="3726"/>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Resolution</w:t>
            </w:r>
          </w:p>
        </w:tc>
      </w:tr>
      <w:tr>
        <w:tc>
          <w:tcPr>
            <w:tcW w:type="dxa" w:w="5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center"/>
            </w:pPr>
            <w:r>
              <w:rPr>
                <w:rFonts w:ascii="Arial" w:cs="Arial" w:eastAsia="Arial" w:hAnsi="Arial"/>
                <w:b/>
                <w:bCs/>
                <w:color w:val="1A2A1A"/>
                <w:sz w:val="20"/>
                <w:szCs w:val="20"/>
              </w:rPr>
              <w:t xml:space="preserve">20</w:t>
            </w:r>
          </w:p>
        </w:tc>
        <w:tc>
          <w:tcPr>
            <w:tcW w:type="dxa" w:w="34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STRATEGIC_RISK_SIGNAL_DOMINANCE_GREATEST</w:t>
            </w:r>
          </w:p>
        </w:tc>
        <w:tc>
          <w:tcPr>
            <w:tcW w:type="dxa" w:w="14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6B2A"/>
                <w:sz w:val="20"/>
                <w:szCs w:val="20"/>
              </w:rPr>
              <w:t xml:space="preserve">ORIENTED</w:t>
            </w:r>
          </w:p>
        </w:tc>
        <w:tc>
          <w:tcPr>
            <w:tcW w:type="dxa" w:w="37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AMAR Trigger Engine -- Sprint 25</w:t>
            </w:r>
          </w:p>
        </w:tc>
      </w:tr>
      <w:tr>
        <w:tc>
          <w:tcPr>
            <w:tcW w:type="dxa" w:w="5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center"/>
            </w:pPr>
            <w:r>
              <w:rPr>
                <w:rFonts w:ascii="Arial" w:cs="Arial" w:eastAsia="Arial" w:hAnsi="Arial"/>
                <w:b/>
                <w:bCs/>
                <w:color w:val="1A2A1A"/>
                <w:sz w:val="20"/>
                <w:szCs w:val="20"/>
              </w:rPr>
              <w:t xml:space="preserve">21</w:t>
            </w:r>
          </w:p>
        </w:tc>
        <w:tc>
          <w:tcPr>
            <w:tcW w:type="dxa" w:w="34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GENECO_ANALYTICAL_INDEPENDENCE</w:t>
            </w:r>
          </w:p>
        </w:tc>
        <w:tc>
          <w:tcPr>
            <w:tcW w:type="dxa" w:w="14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6B2A"/>
                <w:sz w:val="20"/>
                <w:szCs w:val="20"/>
              </w:rPr>
              <w:t xml:space="preserve">ORIENTED</w:t>
            </w:r>
          </w:p>
        </w:tc>
        <w:tc>
          <w:tcPr>
            <w:tcW w:type="dxa" w:w="37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Rule 4 GENECO + definition config. significative -- Sprint 28</w:t>
            </w:r>
          </w:p>
        </w:tc>
      </w:tr>
      <w:tr>
        <w:tc>
          <w:tcPr>
            <w:tcW w:type="dxa" w:w="5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center"/>
            </w:pPr>
            <w:r>
              <w:rPr>
                <w:rFonts w:ascii="Arial" w:cs="Arial" w:eastAsia="Arial" w:hAnsi="Arial"/>
                <w:b/>
                <w:bCs/>
                <w:color w:val="1A2A1A"/>
                <w:sz w:val="20"/>
                <w:szCs w:val="20"/>
              </w:rPr>
              <w:t xml:space="preserve">22</w:t>
            </w:r>
          </w:p>
        </w:tc>
        <w:tc>
          <w:tcPr>
            <w:tcW w:type="dxa" w:w="34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GENECO_OBSERVATIONAL_DOCTRINE_ALIGNMENT</w:t>
            </w:r>
          </w:p>
        </w:tc>
        <w:tc>
          <w:tcPr>
            <w:tcW w:type="dxa" w:w="14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6B2A"/>
                <w:sz w:val="20"/>
                <w:szCs w:val="20"/>
              </w:rPr>
              <w:t xml:space="preserve">ORIENTED</w:t>
            </w:r>
          </w:p>
        </w:tc>
        <w:tc>
          <w:tcPr>
            <w:tcW w:type="dxa" w:w="37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Roadmap v1-&gt;v2-&gt;v3 -- Sprint 25</w:t>
            </w:r>
          </w:p>
        </w:tc>
      </w:tr>
      <w:tr>
        <w:tc>
          <w:tcPr>
            <w:tcW w:type="dxa" w:w="5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center"/>
            </w:pPr>
            <w:r>
              <w:rPr>
                <w:rFonts w:ascii="Arial" w:cs="Arial" w:eastAsia="Arial" w:hAnsi="Arial"/>
                <w:b/>
                <w:bCs/>
                <w:color w:val="1A2A1A"/>
                <w:sz w:val="20"/>
                <w:szCs w:val="20"/>
              </w:rPr>
              <w:t xml:space="preserve">23</w:t>
            </w:r>
          </w:p>
        </w:tc>
        <w:tc>
          <w:tcPr>
            <w:tcW w:type="dxa" w:w="34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AMAR_TRIGGER_PREREQUISITES_VALIDATED</w:t>
            </w:r>
          </w:p>
        </w:tc>
        <w:tc>
          <w:tcPr>
            <w:tcW w:type="dxa" w:w="14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6B2A"/>
                <w:sz w:val="20"/>
                <w:szCs w:val="20"/>
              </w:rPr>
              <w:t xml:space="preserve">ORIENTED</w:t>
            </w:r>
          </w:p>
        </w:tc>
        <w:tc>
          <w:tcPr>
            <w:tcW w:type="dxa" w:w="37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Option B + seuil 0.20 -- Sprint 25</w:t>
            </w:r>
          </w:p>
        </w:tc>
      </w:tr>
      <w:tr>
        <w:tc>
          <w:tcPr>
            <w:tcW w:type="dxa" w:w="5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center"/>
            </w:pPr>
            <w:r>
              <w:rPr>
                <w:rFonts w:ascii="Arial" w:cs="Arial" w:eastAsia="Arial" w:hAnsi="Arial"/>
                <w:b/>
                <w:bCs/>
                <w:color w:val="1A2A1A"/>
                <w:sz w:val="20"/>
                <w:szCs w:val="20"/>
              </w:rPr>
              <w:t xml:space="preserve">24</w:t>
            </w:r>
          </w:p>
        </w:tc>
        <w:tc>
          <w:tcPr>
            <w:tcW w:type="dxa" w:w="34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WKN_PENV_NULL_MASKED_SDN_2024</w:t>
            </w:r>
          </w:p>
        </w:tc>
        <w:tc>
          <w:tcPr>
            <w:tcW w:type="dxa" w:w="14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6B2A"/>
                <w:sz w:val="20"/>
                <w:szCs w:val="20"/>
              </w:rPr>
              <w:t xml:space="preserve">ORIENTED</w:t>
            </w:r>
          </w:p>
        </w:tc>
        <w:tc>
          <w:tcPr>
            <w:tcW w:type="dxa" w:w="37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weakness_score_raw -- Sprint 28</w:t>
            </w:r>
          </w:p>
        </w:tc>
      </w:tr>
      <w:tr>
        <w:tc>
          <w:tcPr>
            <w:tcW w:type="dxa" w:w="5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center"/>
            </w:pPr>
            <w:r>
              <w:rPr>
                <w:rFonts w:ascii="Arial" w:cs="Arial" w:eastAsia="Arial" w:hAnsi="Arial"/>
                <w:b/>
                <w:bCs/>
                <w:color w:val="1A2A1A"/>
                <w:sz w:val="20"/>
                <w:szCs w:val="20"/>
              </w:rPr>
              <w:t xml:space="preserve">30</w:t>
            </w:r>
          </w:p>
        </w:tc>
        <w:tc>
          <w:tcPr>
            <w:tcW w:type="dxa" w:w="34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IOSA_CLASS_CREATION</w:t>
            </w:r>
          </w:p>
        </w:tc>
        <w:tc>
          <w:tcPr>
            <w:tcW w:type="dxa" w:w="14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6B2A"/>
                <w:sz w:val="20"/>
                <w:szCs w:val="20"/>
              </w:rPr>
              <w:t xml:space="preserve">ORIENTED</w:t>
            </w:r>
          </w:p>
        </w:tc>
        <w:tc>
          <w:tcPr>
            <w:tcW w:type="dxa" w:w="37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Institution classe IOSA -- Sprint 27</w:t>
            </w:r>
          </w:p>
        </w:tc>
      </w:tr>
    </w:tbl>
    <w:p>
      <w:pPr>
        <w:spacing w:after="80" w:before="80"/>
      </w:pPr>
      <w:r>
        <w:t xml:space="preserve"/>
      </w:r>
    </w:p>
    <w:p>
      <w:pPr>
        <w:pStyle w:val="Heading1"/>
        <w:pBdr>
          <w:bottom w:val="single" w:color="C8973A" w:sz="8" w:space="1"/>
        </w:pBdr>
        <w:spacing w:after="200" w:before="400"/>
      </w:pPr>
      <w:r>
        <w:rPr>
          <w:rFonts w:ascii="Arial" w:cs="Arial" w:eastAsia="Arial" w:hAnsi="Arial"/>
          <w:b/>
          <w:bCs/>
          <w:color w:val="0F4A1A"/>
          <w:sz w:val="34"/>
          <w:szCs w:val="34"/>
        </w:rPr>
        <w:t xml:space="preserve">6. Points Ouverts -- Sprint 30 et Au-dela</w:t>
      </w:r>
    </w:p>
    <w:p>
      <w:pPr>
        <w:pStyle w:val="Heading2"/>
        <w:spacing w:after="120" w:before="280"/>
      </w:pPr>
      <w:r>
        <w:rPr>
          <w:rFonts w:ascii="Arial" w:cs="Arial" w:eastAsia="Arial" w:hAnsi="Arial"/>
          <w:b/>
          <w:bCs/>
          <w:color w:val="1A6B2A"/>
          <w:sz w:val="26"/>
          <w:szCs w:val="26"/>
        </w:rPr>
        <w:t xml:space="preserve">6.1 Actions directement issues de Sprint 29</w:t>
      </w:r>
    </w:p>
    <w:p>
      <w:pPr>
        <w:pStyle w:val="ListParagraph"/>
        <w:numPr>
          <w:ilvl w:val="0"/>
          <w:numId w:val="2"/>
        </w:numPr>
        <w:spacing w:after="40" w:before="40"/>
      </w:pPr>
      <w:r>
        <w:rPr>
          <w:rFonts w:ascii="Arial" w:cs="Arial" w:eastAsia="Arial" w:hAnsi="Arial"/>
          <w:color w:val="1A2A1A"/>
          <w:sz w:val="20"/>
          <w:szCs w:val="20"/>
        </w:rPr>
        <w:t xml:space="preserve">Validation visuelle complete du portail IOSA sur plusieurs pays</w:t>
      </w:r>
    </w:p>
    <w:p>
      <w:pPr>
        <w:pStyle w:val="ListParagraph"/>
        <w:numPr>
          <w:ilvl w:val="0"/>
          <w:numId w:val="2"/>
        </w:numPr>
        <w:spacing w:after="40" w:before="40"/>
      </w:pPr>
      <w:r>
        <w:rPr>
          <w:rFonts w:ascii="Arial" w:cs="Arial" w:eastAsia="Arial" w:hAnsi="Arial"/>
          <w:color w:val="1A2A1A"/>
          <w:sz w:val="20"/>
          <w:szCs w:val="20"/>
        </w:rPr>
        <w:t xml:space="preserve">PMIN_SMUGGLING_SIGNAL_RANK : extension 2022-2024 (cache BACI requis)</w:t>
      </w:r>
    </w:p>
    <w:p>
      <w:pPr>
        <w:pStyle w:val="ListParagraph"/>
        <w:numPr>
          <w:ilvl w:val="0"/>
          <w:numId w:val="2"/>
        </w:numPr>
        <w:spacing w:after="40" w:before="40"/>
      </w:pPr>
      <w:r>
        <w:rPr>
          <w:rFonts w:ascii="Arial" w:cs="Arial" w:eastAsia="Arial" w:hAnsi="Arial"/>
          <w:color w:val="1A2A1A"/>
          <w:sz w:val="20"/>
          <w:szCs w:val="20"/>
        </w:rPr>
        <w:t xml:space="preserve">SQL de creation pub.mv_amar_dashboard et pub.mv_geneco_dashboard a committer</w:t>
      </w:r>
    </w:p>
    <w:p>
      <w:pPr>
        <w:pStyle w:val="ListParagraph"/>
        <w:numPr>
          <w:ilvl w:val="0"/>
          <w:numId w:val="2"/>
        </w:numPr>
        <w:spacing w:after="40" w:before="40"/>
      </w:pPr>
      <w:r>
        <w:rPr>
          <w:rFonts w:ascii="Arial" w:cs="Arial" w:eastAsia="Arial" w:hAnsi="Arial"/>
          <w:color w:val="1A2A1A"/>
          <w:sz w:val="20"/>
          <w:szCs w:val="20"/>
        </w:rPr>
        <w:t xml:space="preserve">Rapport de cloture Sprints 27-28-29 a committer dans docs/</w:t>
      </w:r>
    </w:p>
    <w:p>
      <w:pPr>
        <w:spacing w:after="80" w:before="80"/>
      </w:pPr>
      <w:r>
        <w:t xml:space="preserve"/>
      </w:r>
    </w:p>
    <w:p>
      <w:pPr>
        <w:pStyle w:val="Heading2"/>
        <w:spacing w:after="120" w:before="280"/>
      </w:pPr>
      <w:r>
        <w:rPr>
          <w:rFonts w:ascii="Arial" w:cs="Arial" w:eastAsia="Arial" w:hAnsi="Arial"/>
          <w:b/>
          <w:bCs/>
          <w:color w:val="1A6B2A"/>
          <w:sz w:val="26"/>
          <w:szCs w:val="26"/>
        </w:rPr>
        <w:t xml:space="preserve">6.2 Queue technique persistante</w:t>
      </w:r>
    </w:p>
    <w:p>
      <w:pPr>
        <w:pStyle w:val="ListParagraph"/>
        <w:numPr>
          <w:ilvl w:val="0"/>
          <w:numId w:val="2"/>
        </w:numPr>
        <w:spacing w:after="40" w:before="40"/>
      </w:pPr>
      <w:r>
        <w:rPr>
          <w:rFonts w:ascii="Arial" w:cs="Arial" w:eastAsia="Arial" w:hAnsi="Arial"/>
          <w:color w:val="1A2A1A"/>
          <w:sz w:val="20"/>
          <w:szCs w:val="20"/>
        </w:rPr>
        <w:t xml:space="preserve">Collecte 2025 : WB WDI, IMF WEO, FAO, ACLED, SIPRI, WHO, WGI</w:t>
      </w:r>
    </w:p>
    <w:p>
      <w:pPr>
        <w:pStyle w:val="ListParagraph"/>
        <w:numPr>
          <w:ilvl w:val="0"/>
          <w:numId w:val="2"/>
        </w:numPr>
        <w:spacing w:after="40" w:before="40"/>
      </w:pPr>
      <w:r>
        <w:rPr>
          <w:rFonts w:ascii="Arial" w:cs="Arial" w:eastAsia="Arial" w:hAnsi="Arial"/>
          <w:color w:val="1A2A1A"/>
          <w:sz w:val="20"/>
          <w:szCs w:val="20"/>
        </w:rPr>
        <w:t xml:space="preserve">PENV_FOREST_SOVEREIGNTY -- valeur AGO 2024 aberrante</w:t>
      </w:r>
    </w:p>
    <w:p>
      <w:pPr>
        <w:pStyle w:val="ListParagraph"/>
        <w:numPr>
          <w:ilvl w:val="0"/>
          <w:numId w:val="2"/>
        </w:numPr>
        <w:spacing w:after="40" w:before="40"/>
      </w:pPr>
      <w:r>
        <w:rPr>
          <w:rFonts w:ascii="Arial" w:cs="Arial" w:eastAsia="Arial" w:hAnsi="Arial"/>
          <w:color w:val="1A2A1A"/>
          <w:sz w:val="20"/>
          <w:szCs w:val="20"/>
        </w:rPr>
        <w:t xml:space="preserve">ACLED 2023 pipeline SDN -- absence triggers 2023 (guerre civile avril 2023)</w:t>
      </w:r>
    </w:p>
    <w:p>
      <w:pPr>
        <w:pStyle w:val="ListParagraph"/>
        <w:numPr>
          <w:ilvl w:val="0"/>
          <w:numId w:val="2"/>
        </w:numPr>
        <w:spacing w:after="40" w:before="40"/>
      </w:pPr>
      <w:r>
        <w:rPr>
          <w:rFonts w:ascii="Arial" w:cs="Arial" w:eastAsia="Arial" w:hAnsi="Arial"/>
          <w:color w:val="1A2A1A"/>
          <w:sz w:val="20"/>
          <w:szCs w:val="20"/>
        </w:rPr>
        <w:t xml:space="preserve">Ponderations THR pilier-specifiques -- AMAR Trigger Engine Sprint 2</w:t>
      </w:r>
    </w:p>
    <w:p>
      <w:pPr>
        <w:pStyle w:val="ListParagraph"/>
        <w:numPr>
          <w:ilvl w:val="0"/>
          <w:numId w:val="2"/>
        </w:numPr>
        <w:spacing w:after="40" w:before="40"/>
      </w:pPr>
      <w:r>
        <w:rPr>
          <w:rFonts w:ascii="Arial" w:cs="Arial" w:eastAsia="Arial" w:hAnsi="Arial"/>
          <w:color w:val="1A2A1A"/>
          <w:sz w:val="20"/>
          <w:szCs w:val="20"/>
        </w:rPr>
        <w:t xml:space="preserve">PMIN_SMUGGLING_SIGNAL_VALUE Option B -- World Bank Pink Sheet fetcher</w:t>
      </w:r>
    </w:p>
    <w:p>
      <w:pPr>
        <w:pStyle w:val="ListParagraph"/>
        <w:numPr>
          <w:ilvl w:val="0"/>
          <w:numId w:val="2"/>
        </w:numPr>
        <w:spacing w:after="40" w:before="40"/>
      </w:pPr>
      <w:r>
        <w:rPr>
          <w:rFonts w:ascii="Arial" w:cs="Arial" w:eastAsia="Arial" w:hAnsi="Arial"/>
          <w:color w:val="1A2A1A"/>
          <w:sz w:val="20"/>
          <w:szCs w:val="20"/>
        </w:rPr>
        <w:t xml:space="preserve">Critere operationnel selection configurations significatives -- GENECO v2</w:t>
      </w:r>
    </w:p>
    <w:p>
      <w:pPr>
        <w:spacing w:after="80" w:before="80"/>
      </w:pPr>
      <w:r>
        <w:t xml:space="preserve"/>
      </w:r>
    </w:p>
    <w:p>
      <w:pPr>
        <w:pStyle w:val="Heading2"/>
        <w:spacing w:after="120" w:before="280"/>
      </w:pPr>
      <w:r>
        <w:rPr>
          <w:rFonts w:ascii="Arial" w:cs="Arial" w:eastAsia="Arial" w:hAnsi="Arial"/>
          <w:b/>
          <w:bCs/>
          <w:color w:val="1A6B2A"/>
          <w:sz w:val="26"/>
          <w:szCs w:val="26"/>
        </w:rPr>
        <w:t xml:space="preserve">6.3 Candidats IOSA futurs</w:t>
      </w:r>
    </w:p>
    <w:p>
      <w:pPr>
        <w:pStyle w:val="ListParagraph"/>
        <w:numPr>
          <w:ilvl w:val="0"/>
          <w:numId w:val="2"/>
        </w:numPr>
        <w:spacing w:after="40" w:before="40"/>
      </w:pPr>
      <w:r>
        <w:rPr>
          <w:rFonts w:ascii="Arial" w:cs="Arial" w:eastAsia="Arial" w:hAnsi="Arial"/>
          <w:color w:val="1A2A1A"/>
          <w:sz w:val="20"/>
          <w:szCs w:val="20"/>
        </w:rPr>
        <w:t xml:space="preserve">MIN_LEAKAGE_RISK (181 valeurs partielles en base -- candidat prioritaire)</w:t>
      </w:r>
    </w:p>
    <w:p>
      <w:pPr>
        <w:pStyle w:val="ListParagraph"/>
        <w:numPr>
          <w:ilvl w:val="0"/>
          <w:numId w:val="2"/>
        </w:numPr>
        <w:spacing w:after="40" w:before="40"/>
      </w:pPr>
      <w:r>
        <w:rPr>
          <w:rFonts w:ascii="Arial" w:cs="Arial" w:eastAsia="Arial" w:hAnsi="Arial"/>
          <w:color w:val="1A2A1A"/>
          <w:sz w:val="20"/>
          <w:szCs w:val="20"/>
        </w:rPr>
        <w:t xml:space="preserve">Indicateurs flux financiers illicites -- si source primaire disponible</w:t>
      </w:r>
    </w:p>
    <w:p>
      <w:pPr>
        <w:pStyle w:val="ListParagraph"/>
        <w:numPr>
          <w:ilvl w:val="0"/>
          <w:numId w:val="2"/>
        </w:numPr>
        <w:spacing w:after="40" w:before="40"/>
      </w:pPr>
      <w:r>
        <w:rPr>
          <w:rFonts w:ascii="Arial" w:cs="Arial" w:eastAsia="Arial" w:hAnsi="Arial"/>
          <w:color w:val="1A2A1A"/>
          <w:sz w:val="20"/>
          <w:szCs w:val="20"/>
        </w:rPr>
        <w:t xml:space="preserve">Indicateurs dependance technologique sectorielle</w:t>
      </w:r>
    </w:p>
    <w:p>
      <w:pPr>
        <w:pStyle w:val="ListParagraph"/>
        <w:numPr>
          <w:ilvl w:val="0"/>
          <w:numId w:val="2"/>
        </w:numPr>
        <w:spacing w:after="40" w:before="40"/>
      </w:pPr>
      <w:r>
        <w:rPr>
          <w:rFonts w:ascii="Arial" w:cs="Arial" w:eastAsia="Arial" w:hAnsi="Arial"/>
          <w:color w:val="1A2A1A"/>
          <w:sz w:val="20"/>
          <w:szCs w:val="20"/>
        </w:rPr>
        <w:t xml:space="preserve">Signaux capture etatique non perceptuels</w:t>
      </w:r>
    </w:p>
    <w:p>
      <w:pPr>
        <w:spacing w:after="80" w:before="80"/>
      </w:pPr>
      <w:r>
        <w:t xml:space="preserve"/>
      </w:r>
    </w:p>
    <w:p>
      <w:pPr>
        <w:pStyle w:val="Heading2"/>
        <w:spacing w:after="120" w:before="280"/>
      </w:pPr>
      <w:r>
        <w:rPr>
          <w:rFonts w:ascii="Arial" w:cs="Arial" w:eastAsia="Arial" w:hAnsi="Arial"/>
          <w:b/>
          <w:bCs/>
          <w:color w:val="1A6B2A"/>
          <w:sz w:val="26"/>
          <w:szCs w:val="26"/>
        </w:rPr>
        <w:t xml:space="preserve">6.4 Horizon institutionnel</w:t>
      </w:r>
    </w:p>
    <w:p>
      <w:pPr>
        <w:pStyle w:val="ListParagraph"/>
        <w:numPr>
          <w:ilvl w:val="0"/>
          <w:numId w:val="2"/>
        </w:numPr>
        <w:spacing w:after="40" w:before="40"/>
      </w:pPr>
      <w:r>
        <w:rPr>
          <w:rFonts w:ascii="Arial" w:cs="Arial" w:eastAsia="Arial" w:hAnsi="Arial"/>
          <w:color w:val="1A2A1A"/>
          <w:sz w:val="20"/>
          <w:szCs w:val="20"/>
        </w:rPr>
        <w:t xml:space="preserve">Validation Comite Scientifique -- avril 2027 (P7Z, cost_calibration_status)</w:t>
      </w:r>
    </w:p>
    <w:p>
      <w:pPr>
        <w:pStyle w:val="ListParagraph"/>
        <w:numPr>
          <w:ilvl w:val="0"/>
          <w:numId w:val="2"/>
        </w:numPr>
        <w:spacing w:after="40" w:before="40"/>
      </w:pPr>
      <w:r>
        <w:rPr>
          <w:rFonts w:ascii="Arial" w:cs="Arial" w:eastAsia="Arial" w:hAnsi="Arial"/>
          <w:color w:val="1A2A1A"/>
          <w:sz w:val="20"/>
          <w:szCs w:val="20"/>
        </w:rPr>
        <w:t xml:space="preserve">Publication institutionnelle ISA -- septembre 2027</w:t>
      </w:r>
    </w:p>
    <w:p>
      <w:pPr>
        <w:spacing w:after="80" w:before="80"/>
      </w:pPr>
      <w:r>
        <w:t xml:space="preserve"/>
      </w:r>
    </w:p>
    <w:p>
      <w:pPr>
        <w:pStyle w:val="Heading1"/>
        <w:pBdr>
          <w:bottom w:val="single" w:color="C8973A" w:sz="8" w:space="1"/>
        </w:pBdr>
        <w:spacing w:after="200" w:before="400"/>
      </w:pPr>
      <w:r>
        <w:rPr>
          <w:rFonts w:ascii="Arial" w:cs="Arial" w:eastAsia="Arial" w:hAnsi="Arial"/>
          <w:b/>
          <w:bCs/>
          <w:color w:val="0F4A1A"/>
          <w:sz w:val="34"/>
          <w:szCs w:val="34"/>
        </w:rPr>
        <w:t xml:space="preserve">7. Synthese et Validation</w:t>
      </w:r>
    </w:p>
    <w:p>
      <w:pPr>
        <w:spacing w:after="100" w:before="60"/>
      </w:pPr>
      <w:r>
        <w:rPr>
          <w:rFonts w:ascii="Arial" w:cs="Arial" w:eastAsia="Arial" w:hAnsi="Arial"/>
          <w:color w:val="1A2A1A"/>
          <w:sz w:val="20"/>
          <w:szCs w:val="20"/>
        </w:rPr>
        <w:t xml:space="preserve">Les Sprints 27-28-29 constituent la sequence la plus structurante depuis l'activation du moteur AMAR en Sprint 25. Ils posent les fondations d'une nouvelle couche analytique de l'OSA -- observable, auditables, non imputables -- et resolvent la totalite des findings GAF ouverts.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Acquis des Sprints 27-28-29</w:t>
            </w:r>
          </w:p>
        </w:tc>
        <w:tc>
          <w:tcPr>
            <w:tcW w:type="dxa" w:w="4513"/>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Conditions pour Sprint 30+</w:t>
            </w:r>
          </w:p>
        </w:tc>
      </w:tr>
      <w:tr>
        <w:tc>
          <w:tcPr>
            <w:tcW w:type="dxa" w:w="4513"/>
            <w:tcBorders>
              <w:top w:val="single" w:color="D4E4D4" w:sz="1"/>
              <w:left w:val="single" w:color="D4E4D4" w:sz="1"/>
              <w:bottom w:val="single" w:color="D4E4D4" w:sz="1"/>
              <w:right w:val="single" w:color="D4E4D4" w:sz="1"/>
            </w:tcBorders>
            <w:tcMar>
              <w:top w:type="dxa" w:w="80"/>
              <w:left w:type="dxa" w:w="120"/>
              <w:bottom w:type="dxa" w:w="80"/>
              <w:right w:type="dxa" w:w="120"/>
            </w:tcMar>
          </w:tcPr>
          <w:p>
            <w:pPr>
              <w:pStyle w:val="ListParagraph"/>
              <w:numPr>
                <w:ilvl w:val="0"/>
                <w:numId w:val="3"/>
              </w:numPr>
              <w:spacing w:after="40" w:before="40"/>
            </w:pPr>
            <w:r>
              <w:rPr>
                <w:rFonts w:ascii="Arial" w:cs="Arial" w:eastAsia="Arial" w:hAnsi="Arial"/>
                <w:sz w:val="19"/>
                <w:szCs w:val="19"/>
              </w:rPr>
              <w:t xml:space="preserve">Classe IOSA instituee et deploye en production</w:t>
            </w:r>
          </w:p>
          <w:p>
            <w:pPr>
              <w:pStyle w:val="ListParagraph"/>
              <w:numPr>
                <w:ilvl w:val="0"/>
                <w:numId w:val="3"/>
              </w:numPr>
              <w:spacing w:after="40" w:before="40"/>
            </w:pPr>
            <w:r>
              <w:rPr>
                <w:rFonts w:ascii="Arial" w:cs="Arial" w:eastAsia="Arial" w:hAnsi="Arial"/>
                <w:sz w:val="19"/>
                <w:szCs w:val="19"/>
              </w:rPr>
              <w:t xml:space="preserve">3 indicateurs IOSA actives (1726 observations accessibles)</w:t>
            </w:r>
          </w:p>
          <w:p>
            <w:pPr>
              <w:pStyle w:val="ListParagraph"/>
              <w:numPr>
                <w:ilvl w:val="0"/>
                <w:numId w:val="3"/>
              </w:numPr>
              <w:spacing w:after="40" w:before="40"/>
            </w:pPr>
            <w:r>
              <w:rPr>
                <w:rFonts w:ascii="Arial" w:cs="Arial" w:eastAsia="Arial" w:hAnsi="Arial"/>
                <w:sz w:val="19"/>
                <w:szCs w:val="19"/>
              </w:rPr>
              <w:t xml:space="preserve">Endpoint /structural-obs en production (~50ms)</w:t>
            </w:r>
          </w:p>
          <w:p>
            <w:pPr>
              <w:pStyle w:val="ListParagraph"/>
              <w:numPr>
                <w:ilvl w:val="0"/>
                <w:numId w:val="3"/>
              </w:numPr>
              <w:spacing w:after="40" w:before="40"/>
            </w:pPr>
            <w:r>
              <w:rPr>
                <w:rFonts w:ascii="Arial" w:cs="Arial" w:eastAsia="Arial" w:hAnsi="Arial"/>
                <w:sz w:val="19"/>
                <w:szCs w:val="19"/>
              </w:rPr>
              <w:t xml:space="preserve">AMAR : 1m52s -&gt; 42ms (x2700)</w:t>
            </w:r>
          </w:p>
          <w:p>
            <w:pPr>
              <w:pStyle w:val="ListParagraph"/>
              <w:numPr>
                <w:ilvl w:val="0"/>
                <w:numId w:val="3"/>
              </w:numPr>
              <w:spacing w:after="40" w:before="40"/>
            </w:pPr>
            <w:r>
              <w:rPr>
                <w:rFonts w:ascii="Arial" w:cs="Arial" w:eastAsia="Arial" w:hAnsi="Arial"/>
                <w:sz w:val="19"/>
                <w:szCs w:val="19"/>
              </w:rPr>
              <w:t xml:space="preserve">GENECO : 47s -&gt; 39ms (x1200)</w:t>
            </w:r>
          </w:p>
          <w:p>
            <w:pPr>
              <w:pStyle w:val="ListParagraph"/>
              <w:numPr>
                <w:ilvl w:val="0"/>
                <w:numId w:val="3"/>
              </w:numPr>
              <w:spacing w:after="40" w:before="40"/>
            </w:pPr>
            <w:r>
              <w:rPr>
                <w:rFonts w:ascii="Arial" w:cs="Arial" w:eastAsia="Arial" w:hAnsi="Arial"/>
                <w:sz w:val="19"/>
                <w:szCs w:val="19"/>
              </w:rPr>
              <w:t xml:space="preserve">5 facteurs GENECO + 6 facteurs AMAR avec donnees reelles</w:t>
            </w:r>
          </w:p>
          <w:p>
            <w:pPr>
              <w:pStyle w:val="ListParagraph"/>
              <w:numPr>
                <w:ilvl w:val="0"/>
                <w:numId w:val="3"/>
              </w:numPr>
              <w:spacing w:after="40" w:before="40"/>
            </w:pPr>
            <w:r>
              <w:rPr>
                <w:rFonts w:ascii="Arial" w:cs="Arial" w:eastAsia="Arial" w:hAnsi="Arial"/>
                <w:sz w:val="19"/>
                <w:szCs w:val="19"/>
              </w:rPr>
              <w:t xml:space="preserve">Index 10 piliers autonome dans la navigation</w:t>
            </w:r>
          </w:p>
          <w:p>
            <w:pPr>
              <w:pStyle w:val="ListParagraph"/>
              <w:numPr>
                <w:ilvl w:val="0"/>
                <w:numId w:val="3"/>
              </w:numPr>
              <w:spacing w:after="40" w:before="40"/>
            </w:pPr>
            <w:r>
              <w:rPr>
                <w:rFonts w:ascii="Arial" w:cs="Arial" w:eastAsia="Arial" w:hAnsi="Arial"/>
                <w:sz w:val="19"/>
                <w:szCs w:val="19"/>
              </w:rPr>
              <w:t xml:space="preserve">Tous findings GAF ORIENTED -- aucun OPEN restant</w:t>
            </w:r>
          </w:p>
          <w:p>
            <w:pPr>
              <w:pStyle w:val="ListParagraph"/>
              <w:numPr>
                <w:ilvl w:val="0"/>
                <w:numId w:val="3"/>
              </w:numPr>
              <w:spacing w:after="40" w:before="40"/>
            </w:pPr>
            <w:r>
              <w:rPr>
                <w:rFonts w:ascii="Arial" w:cs="Arial" w:eastAsia="Arial" w:hAnsi="Arial"/>
                <w:sz w:val="19"/>
                <w:szCs w:val="19"/>
              </w:rPr>
              <w:t xml:space="preserve">Rule 4 GENECO actee + definition config. significative</w:t>
            </w:r>
          </w:p>
        </w:tc>
        <w:tc>
          <w:tcPr>
            <w:tcW w:type="dxa" w:w="4513"/>
            <w:tcBorders>
              <w:top w:val="single" w:color="D4E4D4" w:sz="1"/>
              <w:left w:val="single" w:color="D4E4D4" w:sz="1"/>
              <w:bottom w:val="single" w:color="D4E4D4" w:sz="1"/>
              <w:right w:val="single" w:color="D4E4D4" w:sz="1"/>
            </w:tcBorders>
            <w:tcMar>
              <w:top w:type="dxa" w:w="80"/>
              <w:left w:type="dxa" w:w="120"/>
              <w:bottom w:type="dxa" w:w="80"/>
              <w:right w:type="dxa" w:w="120"/>
            </w:tcMar>
          </w:tcPr>
          <w:p>
            <w:pPr>
              <w:pStyle w:val="ListParagraph"/>
              <w:numPr>
                <w:ilvl w:val="0"/>
                <w:numId w:val="4"/>
              </w:numPr>
              <w:spacing w:after="40" w:before="40"/>
            </w:pPr>
            <w:r>
              <w:rPr>
                <w:rFonts w:ascii="Arial" w:cs="Arial" w:eastAsia="Arial" w:hAnsi="Arial"/>
                <w:sz w:val="19"/>
                <w:szCs w:val="19"/>
              </w:rPr>
              <w:t xml:space="preserve">Collecte 2025 (WB, IMF, FAO, ACLED, SIPRI)</w:t>
            </w:r>
          </w:p>
          <w:p>
            <w:pPr>
              <w:pStyle w:val="ListParagraph"/>
              <w:numPr>
                <w:ilvl w:val="0"/>
                <w:numId w:val="4"/>
              </w:numPr>
              <w:spacing w:after="40" w:before="40"/>
            </w:pPr>
            <w:r>
              <w:rPr>
                <w:rFonts w:ascii="Arial" w:cs="Arial" w:eastAsia="Arial" w:hAnsi="Arial"/>
                <w:sz w:val="19"/>
                <w:szCs w:val="19"/>
              </w:rPr>
              <w:t xml:space="preserve">Cache BACI 2022-2024 pour PMIN_SMUGGLING L3</w:t>
            </w:r>
          </w:p>
          <w:p>
            <w:pPr>
              <w:pStyle w:val="ListParagraph"/>
              <w:numPr>
                <w:ilvl w:val="0"/>
                <w:numId w:val="4"/>
              </w:numPr>
              <w:spacing w:after="40" w:before="40"/>
            </w:pPr>
            <w:r>
              <w:rPr>
                <w:rFonts w:ascii="Arial" w:cs="Arial" w:eastAsia="Arial" w:hAnsi="Arial"/>
                <w:sz w:val="19"/>
                <w:szCs w:val="19"/>
              </w:rPr>
              <w:t xml:space="preserve">Pipeline ACLED 2023 SDN</w:t>
            </w:r>
          </w:p>
          <w:p>
            <w:pPr>
              <w:pStyle w:val="ListParagraph"/>
              <w:numPr>
                <w:ilvl w:val="0"/>
                <w:numId w:val="4"/>
              </w:numPr>
              <w:spacing w:after="40" w:before="40"/>
            </w:pPr>
            <w:r>
              <w:rPr>
                <w:rFonts w:ascii="Arial" w:cs="Arial" w:eastAsia="Arial" w:hAnsi="Arial"/>
                <w:sz w:val="19"/>
                <w:szCs w:val="19"/>
              </w:rPr>
              <w:t xml:space="preserve">GENECO v2 (moteur autonome)</w:t>
            </w:r>
          </w:p>
          <w:p>
            <w:pPr>
              <w:pStyle w:val="ListParagraph"/>
              <w:numPr>
                <w:ilvl w:val="0"/>
                <w:numId w:val="4"/>
              </w:numPr>
              <w:spacing w:after="40" w:before="40"/>
            </w:pPr>
            <w:r>
              <w:rPr>
                <w:rFonts w:ascii="Arial" w:cs="Arial" w:eastAsia="Arial" w:hAnsi="Arial"/>
                <w:sz w:val="19"/>
                <w:szCs w:val="19"/>
              </w:rPr>
              <w:t xml:space="preserve">Comite Scientifique avril 2027</w:t>
            </w:r>
          </w:p>
          <w:p>
            <w:pPr>
              <w:pStyle w:val="ListParagraph"/>
              <w:numPr>
                <w:ilvl w:val="0"/>
                <w:numId w:val="4"/>
              </w:numPr>
              <w:spacing w:after="40" w:before="40"/>
            </w:pPr>
            <w:r>
              <w:rPr>
                <w:rFonts w:ascii="Arial" w:cs="Arial" w:eastAsia="Arial" w:hAnsi="Arial"/>
                <w:sz w:val="19"/>
                <w:szCs w:val="19"/>
              </w:rPr>
              <w:t xml:space="preserve">Publication institutionnelle septembre 2027</w:t>
            </w:r>
          </w:p>
        </w:tc>
      </w:tr>
    </w:tbl>
    <w:p>
      <w:pPr>
        <w:spacing w:after="80" w:before="80"/>
      </w:pPr>
      <w:r>
        <w:t xml:space="preserve"/>
      </w:r>
    </w:p>
    <w:p>
      <w:pPr>
        <w:spacing w:after="80" w:before="80"/>
      </w:pPr>
      <w:r>
        <w:t xml:space="preserve"/>
      </w:r>
    </w:p>
    <w:p>
      <w:pPr>
        <w:pBdr>
          <w:top w:val="single" w:color="C8973A" w:sz="8" w:space="1"/>
        </w:pBdr>
        <w:spacing w:after="120" w:before="240"/>
        <w:jc w:val="center"/>
      </w:pPr>
      <w:r>
        <w:rPr>
          <w:rFonts w:ascii="Arial" w:cs="Arial" w:eastAsia="Arial" w:hAnsi="Arial"/>
          <w:b/>
          <w:bCs/>
          <w:color w:val="1A6B2A"/>
          <w:sz w:val="30"/>
          <w:szCs w:val="30"/>
        </w:rPr>
        <w:t xml:space="preserve">Sprints 27-28-29 — VALIDES</w:t>
      </w:r>
    </w:p>
    <w:p>
      <w:pPr>
        <w:spacing w:after="60" w:before="60"/>
        <w:jc w:val="center"/>
      </w:pPr>
      <w:r>
        <w:rPr>
          <w:rFonts w:ascii="Arial" w:cs="Arial" w:eastAsia="Arial" w:hAnsi="Arial"/>
          <w:color w:val="5A7A5A"/>
          <w:sz w:val="20"/>
          <w:szCs w:val="20"/>
        </w:rPr>
        <w:t xml:space="preserve">Conseil technique OSA — Juin 2026</w:t>
      </w:r>
    </w:p>
    <w:p>
      <w:pPr>
        <w:spacing w:after="240" w:before="60"/>
        <w:jc w:val="center"/>
      </w:pPr>
      <w:r>
        <w:rPr>
          <w:rFonts w:ascii="Arial" w:cs="Arial" w:eastAsia="Arial" w:hAnsi="Arial"/>
          <w:i/>
          <w:iCs/>
          <w:color w:val="5A7A5A"/>
          <w:sz w:val="19"/>
          <w:szCs w:val="19"/>
        </w:rPr>
        <w:t xml:space="preserve">Classe IOSA deployee | 6 GAF findings ORIENTED | Performance x550-x2700 | 0 finding OPEN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73A" w:sz="4" w:space="2"/>
      </w:pBdr>
      <w:tabs>
        <w:tab w:val="right" w:pos="9026"/>
      </w:tabs>
    </w:pPr>
    <w:r>
      <w:rPr>
        <w:rFonts w:ascii="Arial" w:cs="Arial" w:eastAsia="Arial" w:hAnsi="Arial"/>
        <w:color w:val="5A7A5A"/>
        <w:sz w:val="16"/>
        <w:szCs w:val="16"/>
      </w:rPr>
      <w:t xml:space="preserve">CONFIDENTIEL -- Usage interne Conseil technique OSA</w:t>
    </w:r>
    <w:r>
      <w:rPr>
        <w:rFonts w:ascii="Arial" w:cs="Arial" w:eastAsia="Arial" w:hAnsi="Arial"/>
        <w:color w:val="5A7A5A"/>
        <w:sz w:val="16"/>
        <w:szCs w:val="16"/>
      </w:rPr>
      <w:t xml:space="preserve">	Page </w:t>
    </w:r>
    <w:r>
      <w:rPr>
        <w:rFonts w:ascii="Arial" w:cs="Arial" w:eastAsia="Arial" w:hAnsi="Arial"/>
        <w:color w:val="5A7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2A" w:sz="4" w:space="2"/>
      </w:pBdr>
      <w:tabs>
        <w:tab w:val="right" w:pos="9026"/>
      </w:tabs>
    </w:pPr>
    <w:r>
      <w:rPr>
        <w:rFonts w:ascii="Arial" w:cs="Arial" w:eastAsia="Arial" w:hAnsi="Arial"/>
        <w:b/>
        <w:bCs/>
        <w:color w:val="0F4A1A"/>
        <w:sz w:val="16"/>
        <w:szCs w:val="16"/>
      </w:rPr>
      <w:t xml:space="preserve">OSA Observatory -- Rapport de cloture Sprints 27-28-29</w:t>
    </w:r>
    <w:r>
      <w:rPr>
        <w:rFonts w:ascii="Arial" w:cs="Arial" w:eastAsia="Arial" w:hAnsi="Arial"/>
        <w:sz w:val="16"/>
        <w:szCs w:val="16"/>
      </w:rPr>
      <w:t xml:space="preserve">	</w:t>
    </w:r>
    <w:r>
      <w:rPr>
        <w:rFonts w:ascii="Arial" w:cs="Arial" w:eastAsia="Arial" w:hAnsi="Arial"/>
        <w:color w:val="5A7A5A"/>
        <w:sz w:val="16"/>
        <w:szCs w:val="16"/>
      </w:rPr>
      <w:t xml:space="preserve">Institution et deploiement IOSA -- Juin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4A1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6B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2026-06-26T10:46:02.709Z</dcterms:created>
  <dcterms:modified xsi:type="dcterms:W3CDTF">2026-06-26T10:46:02.721Z</dcterms:modified>
</cp:coreProperties>
</file>

<file path=docProps/custom.xml><?xml version="1.0" encoding="utf-8"?>
<Properties xmlns="http://schemas.openxmlformats.org/officeDocument/2006/custom-properties" xmlns:vt="http://schemas.openxmlformats.org/officeDocument/2006/docPropsVTypes"/>
</file>