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OSA OBSERVATORY — GOUVERNANCE DES DONNÉES</w:t>
            </w:r>
          </w:p>
          <w:p>
            <w:pPr>
              <w:jc w:val="center"/>
            </w:pPr>
            <w:r>
              <w:rPr>
                <w:rFonts w:ascii="Arial" w:cs="Arial" w:eastAsia="Arial" w:hAnsi="Arial"/>
                <w:b/>
                <w:bCs/>
                <w:color w:val="FFFFFF"/>
                <w:sz w:val="40"/>
                <w:szCs w:val="40"/>
              </w:rPr>
              <w:t xml:space="preserve">SPRINT 12 — RAPPORT FINAL</w:t>
            </w:r>
          </w:p>
          <w:p>
            <w:pPr>
              <w:jc w:val="center"/>
            </w:pPr>
            <w:r>
              <w:rPr>
                <w:rFonts w:ascii="Arial" w:cs="Arial" w:eastAsia="Arial" w:hAnsi="Arial"/>
                <w:b/>
                <w:bCs/>
                <w:color w:val="BDD7EE"/>
                <w:sz w:val="24"/>
                <w:szCs w:val="24"/>
              </w:rPr>
              <w:t xml:space="preserve">CLOS — 25 Mai 2026</w:t>
            </w:r>
          </w:p>
          <w:p>
            <w:pPr>
              <w:jc w:val="center"/>
            </w:pPr>
            <w:r>
              <w:rPr>
                <w:rFonts w:ascii="Arial" w:cs="Arial" w:eastAsia="Arial" w:hAnsi="Arial"/>
                <w:i/>
                <w:iCs/>
                <w:color w:val="BDD7EE"/>
                <w:sz w:val="20"/>
                <w:szCs w:val="20"/>
              </w:rPr>
              <w:t xml:space="preserve">Correction AMAR · Monte Carlo ISA v2 · Gouvernance · P7J Trajectoire · Modèle économique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jc w:val="center"/>
            </w:pPr>
            <w:r>
              <w:rPr>
                <w:rFonts w:ascii="Arial" w:cs="Arial" w:eastAsia="Arial" w:hAnsi="Arial"/>
                <w:b/>
                <w:bCs/>
                <w:color w:val="375623"/>
                <w:sz w:val="22"/>
                <w:szCs w:val="22"/>
              </w:rPr>
              <w:t xml:space="preserve">✅  Sprint 12 CLOS — 10 commits — Pipeline sain — Healthcheck OK — 6/6 checks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10</w:t>
            </w:r>
          </w:p>
          <w:p>
            <w:pPr>
              <w:jc w:val="center"/>
            </w:pPr>
            <w:r>
              <w:rPr>
                <w:rFonts w:ascii="Arial" w:cs="Arial" w:eastAsia="Arial" w:hAnsi="Arial"/>
                <w:color w:val="BDD7EE"/>
                <w:sz w:val="18"/>
                <w:szCs w:val="18"/>
              </w:rPr>
              <w:t xml:space="preserve">commits Sprint 12</w:t>
            </w:r>
          </w:p>
        </w:tc>
        <w:tc>
          <w:tcPr>
            <w:tcW w:type="dxa" w:w="1872"/>
            <w:tcBorders>
              <w:top w:val="single" w:color="CCCCCC" w:sz="1"/>
              <w:left w:val="single" w:color="CCCCCC" w:sz="1"/>
              <w:bottom w:val="single" w:color="CCCCCC" w:sz="1"/>
              <w:right w:val="single" w:color="CCCCCC" w:sz="1"/>
            </w:tcBorders>
            <w:shd w:fill="375623"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6/6</w:t>
            </w:r>
          </w:p>
          <w:p>
            <w:pPr>
              <w:jc w:val="center"/>
            </w:pPr>
            <w:r>
              <w:rPr>
                <w:rFonts w:ascii="Arial" w:cs="Arial" w:eastAsia="Arial" w:hAnsi="Arial"/>
                <w:color w:val="BDD7EE"/>
                <w:sz w:val="18"/>
                <w:szCs w:val="18"/>
              </w:rPr>
              <w:t xml:space="preserve">checks healthcheck OK</w:t>
            </w:r>
          </w:p>
        </w:tc>
        <w:tc>
          <w:tcPr>
            <w:tcW w:type="dxa" w:w="1872"/>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0.870</w:t>
            </w:r>
          </w:p>
          <w:p>
            <w:pPr>
              <w:jc w:val="center"/>
            </w:pPr>
            <w:r>
              <w:rPr>
                <w:rFonts w:ascii="Arial" w:cs="Arial" w:eastAsia="Arial" w:hAnsi="Arial"/>
                <w:color w:val="BDD7EE"/>
                <w:sz w:val="18"/>
                <w:szCs w:val="18"/>
              </w:rPr>
              <w:t xml:space="preserve">robustesse Monte Carlo</w:t>
            </w:r>
          </w:p>
        </w:tc>
        <w:tc>
          <w:tcPr>
            <w:tcW w:type="dxa" w:w="1872"/>
            <w:tcBorders>
              <w:top w:val="single" w:color="CCCCCC" w:sz="1"/>
              <w:left w:val="single" w:color="CCCCCC" w:sz="1"/>
              <w:bottom w:val="single" w:color="CCCCCC" w:sz="1"/>
              <w:right w:val="single" w:color="CCCCCC" w:sz="1"/>
            </w:tcBorders>
            <w:shd w:fill="C55A11"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BDD7EE"/>
                <w:sz w:val="18"/>
                <w:szCs w:val="18"/>
              </w:rPr>
              <w:t xml:space="preserve">classes P7J trajectoire</w:t>
            </w:r>
          </w:p>
        </w:tc>
        <w:tc>
          <w:tcPr>
            <w:tcW w:type="dxa" w:w="1872"/>
            <w:tcBorders>
              <w:top w:val="single" w:color="CCCCCC" w:sz="1"/>
              <w:left w:val="single" w:color="CCCCCC" w:sz="1"/>
              <w:bottom w:val="single" w:color="CCCCCC" w:sz="1"/>
              <w:right w:val="single" w:color="CCCCCC" w:sz="1"/>
            </w:tcBorders>
            <w:shd w:fill="C55A11"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BDD7EE"/>
                <w:sz w:val="18"/>
                <w:szCs w:val="18"/>
              </w:rPr>
              <w:t xml:space="preserve">sources revenu OSA</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1. Contexte et objectifs Sprint 12</w:t>
      </w:r>
    </w:p>
    <w:p>
      <w:pPr>
        <w:spacing w:after="80" w:before="80"/>
        <w:jc w:val="both"/>
      </w:pPr>
      <w:r>
        <w:rPr>
          <w:rFonts w:ascii="Arial" w:cs="Arial" w:eastAsia="Arial" w:hAnsi="Arial"/>
          <w:b w:val="false"/>
          <w:bCs w:val="false"/>
          <w:i w:val="false"/>
          <w:iCs w:val="false"/>
          <w:color w:val="000000"/>
          <w:sz w:val="22"/>
          <w:szCs w:val="22"/>
        </w:rPr>
        <w:t xml:space="preserve">Sprint 12 est le sprint de maturité de l’OSA. Il fait suite aux Sprints 10 et 11 qui avaient atteint la conformité doctrinale 100 % et consolidé l’infrastructure. L’objectif de Sprint 12 était de corriger les derniers artefacts méthodologiques, de valider scientifiquement les pondérations ISA, de constituer la gouvernance institutionnelle, de déployer le moteur de recommandations P7J, et de fonder le modèle économique d’autofinancement.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Objectif Sprint 12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Correction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Identifier et corriger la cause racine de la rupture AMAR artificielle 2019→2020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Validation scientifique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Monte Carlo ISA v2 — 10 000 simulations — certifier la pondération égale provisoire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Gouvernance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Charte de neutralité scientifique — note de présentation Conseil scientifique panafricain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Intelligence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P7J moteur de recommandations souveraines — vision trajectoire — 3 couches d’accès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Modèle économique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sources de revenus autofinancement — indépendance financière — tarification transparente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Traçabilité</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BaseFetcher source_id depuis collect.data_providers — 1 693 lignes L1 EITI corrigées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2. Chantiers Sprint 12</w:t>
      </w:r>
    </w:p>
    <w:p>
      <w:pPr>
        <w:pStyle w:val="Heading2"/>
        <w:spacing w:after="120" w:before="240"/>
      </w:pPr>
      <w:r>
        <w:rPr>
          <w:rFonts w:ascii="Arial" w:cs="Arial" w:eastAsia="Arial" w:hAnsi="Arial"/>
          <w:b/>
          <w:bCs/>
          <w:color w:val="2E75B6"/>
          <w:sz w:val="26"/>
          <w:szCs w:val="26"/>
        </w:rPr>
        <w:t xml:space="preserve">2.1 Sprint 12A — Correction AMAR Correction B</w:t>
      </w:r>
    </w:p>
    <w:p>
      <w:pPr>
        <w:spacing w:after="80" w:before="80"/>
        <w:jc w:val="both"/>
      </w:pPr>
      <w:r>
        <w:rPr>
          <w:rFonts w:ascii="Arial" w:cs="Arial" w:eastAsia="Arial" w:hAnsi="Arial"/>
          <w:b w:val="false"/>
          <w:bCs w:val="false"/>
          <w:i w:val="false"/>
          <w:iCs w:val="false"/>
          <w:color w:val="000000"/>
          <w:sz w:val="22"/>
          <w:szCs w:val="22"/>
        </w:rPr>
        <w:t xml:space="preserve">La rupture artificielle GREEN→YELLOW en 2020 a été identifiée et corrigée. La cause racine était le `strategic_risk_score` calculé depuis `weakness_score` SWOT, absent avant 2020 (`swot_data_status = NO_COMPUTED_SWOT_ATTACHED`). La Correction B applique un `effective_risk_score` conditionnel selon la disponibilité des données SWOT.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Année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Avant Correction B</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Après Correction 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2010–2019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GREEN 54 pays (avg 0.278)</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GREEN 54 pays (avg 0.276) ✅</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2020</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ORANGE 1 + YELLOW 53 — ARTEFACT</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YELLOW 54 pays (avg 0.397) ✅</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2021–2022</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ORANGE 1 + YELLOW 53 — ARTEFACT</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YELLOW 54 pays ✅</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2023–2024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ORANGE 1–2 + YELLOW 52–53</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ORANGE 1–2 + YELLOW 52–53 ✅</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Table `rf.amar_known_breaks` créée pour documenter les ruptures connues et justifiées. Le healthcheck consulte cette table avant de lever une alerte — les ruptures documentées passent en INFO, pas en ATTENTION.</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2.2 Monte Carlo ISA v2 — 10 000 simulations</w:t>
      </w:r>
    </w:p>
    <w:p>
      <w:pPr>
        <w:spacing w:after="80" w:before="80"/>
        <w:jc w:val="both"/>
      </w:pPr>
      <w:r>
        <w:rPr>
          <w:rFonts w:ascii="Arial" w:cs="Arial" w:eastAsia="Arial" w:hAnsi="Arial"/>
          <w:b w:val="false"/>
          <w:bCs w:val="false"/>
          <w:i w:val="false"/>
          <w:iCs w:val="false"/>
          <w:color w:val="000000"/>
          <w:sz w:val="22"/>
          <w:szCs w:val="22"/>
        </w:rPr>
        <w:t xml:space="preserve">Analyse de sensibilité sur 3 dimensions, année de référence 2022, seed=42 (reproductible).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Dimension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Verdict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Robustesse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Signal clé</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D1 — Poids piliers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MODEREMENT ROBUSTE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0.847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SYC le plus sensible — profil concentré PTRA/PGEO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D2 — Poids sémantiques P7B</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ROBUSTE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0.959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Gouvernance sémantique P7B très stable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D3 — Incertitude imputation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MODEREMENT ROBUSTE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0.805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COD le plus incertain — IC P5-P95 recommandés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ROBUSTESSE GLOBALE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ROBUSTE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4"/>
                <w:szCs w:val="24"/>
              </w:rPr>
              <w:t xml:space="preserve">0.870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Pondération égale certifiable devant le Conseil scientifique</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Clarification doctrinale majeure issue de l’analyse : la sensibilité de SYC aux pondérations est une information souveraine, pas un artefact. Un pays avec 0 mine a 0 mine — c’est sa réalité actuelle et le point de départ de sa trajectoire. La NOT_APPLICABLE s’applique uniquement aux phénomènes physiquement non observables.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2.3 Gouvernance — Conseil scientifique panafricain</w:t>
      </w:r>
    </w:p>
    <w:p>
      <w:pPr>
        <w:spacing w:after="80" w:before="80"/>
        <w:jc w:val="both"/>
      </w:pPr>
      <w:r>
        <w:rPr>
          <w:rFonts w:ascii="Arial" w:cs="Arial" w:eastAsia="Arial" w:hAnsi="Arial"/>
          <w:b w:val="false"/>
          <w:bCs w:val="false"/>
          <w:i w:val="false"/>
          <w:iCs w:val="false"/>
          <w:color w:val="000000"/>
          <w:sz w:val="22"/>
          <w:szCs w:val="22"/>
        </w:rPr>
        <w:t xml:space="preserve">Trois documents fondateurs du Conseil scientifique ont été produits en Sprint 12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Document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Contenu</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Charte de neutralité scientifique publique v1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 articles — indépendance analytique, primauté du fait comportemental, égalité souveraine, transparence, trajectoire. Signatures UA/CEA/BAD.</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Charte de neutralité scientifique interne v1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14 articles — composition, mandats, éthique, délibérations, protection indépendance, certification ISA. Usage Conseil scientifique.</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Note de présentation membres fondateurs v1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8 sections — 4 KPIs OSA, why Conseil, contribution membres, accès, profils recherchés, calendrier 2027, ressources auditables, candidature. Date limite : 1er février 2027.</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Rémunération Conseil : modèle hybride provisoire — 800 USD/session ordinaire + 500 USD/session certification + frais déplacement. Budget annuel estimé : ~21 000 USD pour 7 membres. Décision définitive avant décembre 2026.</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2.4 Recommandations Monte Carlo — Double certification V1/V2</w:t>
      </w:r>
    </w:p>
    <w:p>
      <w:pPr>
        <w:spacing w:after="80" w:before="80"/>
        <w:jc w:val="both"/>
      </w:pPr>
      <w:r>
        <w:rPr>
          <w:rFonts w:ascii="Arial" w:cs="Arial" w:eastAsia="Arial" w:hAnsi="Arial"/>
          <w:b w:val="false"/>
          <w:bCs w:val="false"/>
          <w:i w:val="false"/>
          <w:iCs w:val="false"/>
          <w:color w:val="000000"/>
          <w:sz w:val="22"/>
          <w:szCs w:val="22"/>
        </w:rPr>
        <w:t xml:space="preserve">Les recommandations pour le Conseil scientifique ont été formalisées en deux votes distincts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240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Vote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Objet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Règle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Approbation pondération sémantique indicateurs P7B (décision technique implémentée — robustesse 0.959)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Validation technique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simple 4/5</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Certification pondération égale piliers 0.10 (décision de gouvernance provisoire — robustesse 0.847)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Décision gouvernance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qualifiée 2/3</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2.5 Refactoring BaseFetcher — source_id</w:t>
      </w:r>
    </w:p>
    <w:p>
      <w:pPr>
        <w:spacing w:after="80" w:before="80"/>
        <w:jc w:val="both"/>
      </w:pPr>
      <w:r>
        <w:rPr>
          <w:rFonts w:ascii="Arial" w:cs="Arial" w:eastAsia="Arial" w:hAnsi="Arial"/>
          <w:b w:val="false"/>
          <w:bCs w:val="false"/>
          <w:i w:val="false"/>
          <w:iCs w:val="false"/>
          <w:color w:val="000000"/>
          <w:sz w:val="22"/>
          <w:szCs w:val="22"/>
        </w:rPr>
        <w:t xml:space="preserve">Bug de traçabilité corrigé : `_get_source_id()` lisait `mm.source_origins` (id=14 UN Comtrade) au lieu de `collect.data_providers` (id=13 EITI). Les données étaient correctes, la traçabilité était incorrecte. 1 693 lignes L1 EITI mises à jour (source_id 14→13). Fallback `mm.source_origins` maintenu pour compatibilité ascendante.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2.6 P7J — Moteur de recommandations souveraines — vision trajectoire</w:t>
      </w:r>
    </w:p>
    <w:p>
      <w:pPr>
        <w:spacing w:after="80" w:before="80"/>
        <w:jc w:val="both"/>
      </w:pPr>
      <w:r>
        <w:rPr>
          <w:rFonts w:ascii="Arial" w:cs="Arial" w:eastAsia="Arial" w:hAnsi="Arial"/>
          <w:b w:val="false"/>
          <w:bCs w:val="false"/>
          <w:i w:val="false"/>
          <w:iCs w:val="false"/>
          <w:color w:val="000000"/>
          <w:sz w:val="22"/>
          <w:szCs w:val="22"/>
        </w:rPr>
        <w:t xml:space="preserve">L’ancienne vue `v_p7j_decision_source` produisait 99 % `ATTENUATE_OBSERVED_WEAKNESS` en raison d’une condition tautologique (`isa_observed_score &lt; 0.45` capturant tous les pays africains). P7J a été entièrement reconstruit sur la vision trajectoire.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2160"/>
        <w:gridCol w:w="84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Classe trajectoire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Condition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Nb piliers 2024</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ISA moyen</w:t>
            </w:r>
          </w:p>
        </w:tc>
        <w:tc>
          <w:tcPr>
            <w:tcW w:type="dxa" w:w="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Pente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ACCELERATING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slope &gt; 0.003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0.176</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+0.005</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PROGRESSING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slope 0.001..0.003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85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0.137</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+0.002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slope -0.001..0.001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143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0.098</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0.000</w:t>
            </w:r>
          </w:p>
        </w:tc>
      </w:tr>
      <w:tr>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DECLINING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slope -0.003..-0.001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0.104</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-0.002</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slope &lt; -0.003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141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0.109</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-0.005</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Architecture 3 couches alignée sur le modèle économique : Couche 0 open data (classe trajectoire), Couche 1 affilié standard (scores + actions), Couche 2 premium (simulations + IC + AMAR). 125 situations PRIORITY_CRITICAL sur 540 — 23 % du pipeline souverain africain 2024.</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2.7 Modèle économique OSA v1</w:t>
      </w:r>
    </w:p>
    <w:p>
      <w:pPr>
        <w:spacing w:after="80" w:before="80"/>
        <w:jc w:val="both"/>
      </w:pPr>
      <w:r>
        <w:rPr>
          <w:rFonts w:ascii="Arial" w:cs="Arial" w:eastAsia="Arial" w:hAnsi="Arial"/>
          <w:b w:val="false"/>
          <w:bCs w:val="false"/>
          <w:i w:val="false"/>
          <w:iCs w:val="false"/>
          <w:color w:val="000000"/>
          <w:sz w:val="22"/>
          <w:szCs w:val="22"/>
        </w:rPr>
        <w:t xml:space="preserve">Le modèle économique d’autofinancement a été formalisé en Sprint 12. Il repose sur 4 sources de revenus garantissant l’indépendance financière et donc la neutralité scientifique.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Public cible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Tarification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S1 — Affiliation standard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Ministères et agences gouvernementales africaines</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Tarif public annuel — grille à publier Sprint 13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S2 — Affiliation premium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Banques centrales, fonds souverains, institutions régionales</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Tarif public annuel — grille à publier Sprint 13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S3 — Études de faisabilité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Gouvernements, investisseurs stratégiques, bailleurs</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Mixte : forfait diagnostic + régie mise en oeuvre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S4 — Gestion de projet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Ministères et agences de développement</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Mixte : forfait diagnostic + régie jours/homme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Règle fondatrice : aucun bailleur ne peut financer plus de 30 % du budget annuel de l’OSA. L’autofinancement par les affiliations et les services n’est pas un objectif commercial — c’est une exigence de gouvernance.</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2.8 Nettoyage architecture DB</w:t>
      </w:r>
    </w:p>
    <w:p>
      <w:pPr>
        <w:spacing w:after="80" w:before="80"/>
        <w:jc w:val="both"/>
      </w:pPr>
      <w:r>
        <w:rPr>
          <w:rFonts w:ascii="Arial" w:cs="Arial" w:eastAsia="Arial" w:hAnsi="Arial"/>
          <w:b w:val="false"/>
          <w:bCs w:val="false"/>
          <w:i w:val="false"/>
          <w:iCs w:val="false"/>
          <w:color w:val="000000"/>
          <w:sz w:val="22"/>
          <w:szCs w:val="22"/>
        </w:rPr>
        <w:t xml:space="preserve">4 vues obsolètes de l’ancienne architecture P7J ont été supprimées après vérification qu’elles n’étaient référencées ni par l’API ni par les scripts Python : `v_isa_strategic_recommendation_engine`, `v_isa_priority_intervention_alerts`, `v_isa_intervention_decision_matrix`, `v_isa_candidate_intervention_catalog`.</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3. Livrables Sprint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Livrable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12A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patch_12a_amar_correction_b.sql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SQL — vue AMAR reconstruite avec Correction B</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12A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patch_12a_amar_known_breaks.sql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SQL — table rf.amar_known_breaks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Gouvernance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OSA_Charte_Neutralite_Scientifique_Publique_v1.docx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Word — 5 articles — UA/CEA/BAD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Gouvernance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OSA_Charte_Neutralite_Scientifique_Interne_v1.docx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Word — 14 articles — Conseil scientifique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Gouvernance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OSA_Conseil_Scientifique_Note_Presentation_v1.docx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Word — recrutement membres fondateurs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Monte Carlo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scripts/analyse/osa_monte_carlo.py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 3 dimensions — 10 000 simulations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Monte Carlo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OSA_Monte_Carlo_ISA_v2_2022_20260524.docx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Word — rapport résultats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Monte Carlo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OSA_Monte_Carlo_Recommandations_Conseil_Scientifique_v1.docx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Word — R1 (V1/V2) + R2 (IC) + clarification SYC</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BaseFetcher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collectors/fetcher_base.py (refactorisé)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 source_id depuis collect.data_providers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P7J</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db/patch_db/patch_12_p7j_recommendation_engine.sql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SQL — 3 vues P7J — 5 classes trajectoire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Modèle éco.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OSA_Modele_Economique_v1.docx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Word — 4 sources — tarification — Sprint 13</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4. Commits Sprint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0"/>
        <w:gridCol w:w="30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Commit</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Message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b570fa4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feat(sprint12a): correction AMAR Correction B + rf.amar_known_breaks + healthcheck 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Correction AMAR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98c8cd0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docs(sprint12): charte neutralite scientifique v1 publique + interne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Gouvernance</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541a47d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docs(sprint12): note presentation Conseil scientifique + rapports sprints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Gouvernance</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09ea6c4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feat(sprint12): Monte Carlo ISA v2 - 10000 simulations - robustesse 0.870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Monte Carlo</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cffc104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docs(sprint12): recommandations Monte Carlo v2 - R3 remplacee par clarification SYC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Monte Carlo</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74a99c8</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docs(sprint12): R1 refondue - distinction V1 piliers / V2 semantiques P7B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Monte Carlo</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4718741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fix(sprint12): BaseFetcher source_id collect.data_providers - 1693 lignes L1 EITI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BaseFetcher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3e2029d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feat(sprint12): P7J moteur recommandations trajectoire - 5 classes - 3 couches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P7J</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7ec1397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fix(sprint12): vue AMAR corrigee option 7 + nettoyage vues obsoletes P7J</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Nettoyage</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16fa526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docs(sprint12): modele economique OSA v1 + rupture GENECO documentee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Modèle éco.</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5. État du pipeline post-Sprint 12</w:t>
      </w:r>
    </w:p>
    <w:p>
      <w:pPr>
        <w:pStyle w:val="Heading2"/>
        <w:spacing w:after="120" w:before="240"/>
      </w:pPr>
      <w:r>
        <w:rPr>
          <w:rFonts w:ascii="Arial" w:cs="Arial" w:eastAsia="Arial" w:hAnsi="Arial"/>
          <w:b/>
          <w:bCs/>
          <w:color w:val="2E75B6"/>
          <w:sz w:val="26"/>
          <w:szCs w:val="26"/>
        </w:rPr>
        <w:t xml:space="preserve">5.1 Healthcheck au 25 mai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800"/>
        <w:gridCol w:w="2400"/>
      </w:tblGrid>
      <w:tr>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Critère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11</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12</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Vues critiques actives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8/8</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8/8</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Conformité doctrinale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100 %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100 %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Indicateurs actifs avec L1 sans L3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Doublons L1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Source_id NULL L1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Rupture AMAR 2020 (seuils)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 Détectée non documentée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Documentée rf.amar_known_breaks</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Source_id EITI traçabilité</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 source_id=14 (incorrect)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source_id=13 (corrigé)</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P7J recommandations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99 % WEAKNESS_TO_FIX (inutilisable)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5 classes trajectoire opérationnelles</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Modèle économique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Non formalisé</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4 sources — document v1.0</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5.2 Distribution AMAR et P7J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Moteur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Distribution 2024</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Lecture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AMAR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ORANGE (SSD, SDN) + 52 YELLOW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Soudan du Sud et Soudan en alerte précurseur d’atrocité</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GENECO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54 YELLOW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Exposition universelle à l’économie des conflits en Afrique 2024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P7J 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125 piliers / 540 (23 %)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Intervention prioritaire requise sur 1 pilier sur 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P7J ACCELERATING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44 piliers / 540 (8 %)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Dynamiques positives à consolider</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6. Décisions doctrinales Sprint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Décision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Formulation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Correction B AMAR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Si swot_data_status = NO_COMPUTED_SWOT_ATTACHED → utiliser vulnerability_observed_score uniquement. Sinon → GREATEST(threat, strategic_risk, vulnerability). Doctrine ISA v1 Axiome 3.</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Doctrine SYC (Monte Carlo)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Tout ce qui est observé a un sens. Un pays avec 2 mines a 2 mines. La sensibilité D1 de SYC est une information souveraine, pas un artefact. La NOT_APPLICABLE ne s’applique qu’aux phénomènes physiquement non observables.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Vision trajectoire P7J</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recommandations OSA répondent à 3 questions : où en est ce pays aujourd’hui ? Quelle est sa direction ? Quelle action souveraine peut accélérer la trajectoire ? La logique de classement ne motive pas.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Publication déclenche l’applicabilité</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Quand un pays publie ses données, elles entrent dans le calcul. S’il ne publie pas, l’absence est un signal d’opacité — signal souverain négatif.</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Autofinancement = exigence de gouvernance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L’indépendance financière de l’OSA est la condition structurelle de sa neutralité scientifique. Aucun bailleur ne peut financer plus de 30 % du budget.</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7. Héritage Sprint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5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Prio.</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Justification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Grille tarifaire S1/S2 — publication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Condition pour ouverture commerciale. Date limite : janvier 2027.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Rémunération définitive Conseil scientifique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Décision avant décembre 2026 selon budget consolidé.</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Constitution Conseil scientifique — première candidatures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Date limite : 1er février 2027. Première session : décembre 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Page affiliation site OSA</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Formulaire + grille tarifaire S1/S2 publique.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Protocole réciprocité statistique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Réduction tarifaire contre transmission données nationales.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 premiers prospects affiliation standard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Ministères cibles + stratégie d’approche institutionnelle.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Automatisation MIN_TAX — API energydata.info</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Collecte manuel actuelle. Explorer API EITI alternatives.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P9 — couche executive finale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Dérivé après maturité P7J. Précondition : certification Conseil scientifique.</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pPr>
              <w:jc w:val="center"/>
            </w:pPr>
            <w:r>
              <w:rPr>
                <w:rFonts w:ascii="Arial" w:cs="Arial" w:eastAsia="Arial" w:hAnsi="Arial"/>
                <w:b/>
                <w:bCs/>
                <w:color w:val="FFFFFF"/>
                <w:sz w:val="30"/>
                <w:szCs w:val="30"/>
              </w:rPr>
              <w:t xml:space="preserve">Sprint 12 CLOS — 25 mai 2026</w:t>
            </w:r>
          </w:p>
          <w:p>
            <w:pPr>
              <w:jc w:val="center"/>
            </w:pPr>
            <w:r>
              <w:rPr>
                <w:rFonts w:ascii="Arial" w:cs="Arial" w:eastAsia="Arial" w:hAnsi="Arial"/>
                <w:i/>
                <w:iCs/>
                <w:color w:val="BDD7EE"/>
                <w:sz w:val="22"/>
                <w:szCs w:val="22"/>
              </w:rPr>
              <w:t xml:space="preserve">10 commits · Pipeline sain · Monte Carlo 0.870 · P7J trajectoire · Gouvernance fondée · Modèle économique</w:t>
            </w:r>
          </w:p>
          <w:p>
            <w:pPr>
              <w:spacing w:before="80"/>
              <w:jc w:val="center"/>
            </w:pPr>
            <w:r>
              <w:rPr>
                <w:rFonts w:ascii="Arial" w:cs="Arial" w:eastAsia="Arial" w:hAnsi="Arial"/>
                <w:i/>
                <w:iCs/>
                <w:color w:val="BDD7EE"/>
                <w:sz w:val="22"/>
                <w:szCs w:val="22"/>
              </w:rPr>
              <w:t xml:space="preserve">L’OSA est prêt pour la phase de constitution du Conseil scientifique et l’ouverture commerciale 2026–2027.</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Confidentiel — Usage institutionnel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Rapport final Sprint 12 — Clos 25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2026-05-25T16:51:11.040Z</dcterms:created>
  <dcterms:modified xsi:type="dcterms:W3CDTF">2026-05-25T16:51:11.052Z</dcterms:modified>
</cp:coreProperties>
</file>

<file path=docProps/custom.xml><?xml version="1.0" encoding="utf-8"?>
<Properties xmlns="http://schemas.openxmlformats.org/officeDocument/2006/custom-properties" xmlns:vt="http://schemas.openxmlformats.org/officeDocument/2006/docPropsVTypes"/>
</file>