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40"/>
              <w:left w:type="dxa" w:w="360"/>
              <w:bottom w:type="dxa" w:w="240"/>
              <w:right w:type="dxa" w:w="360"/>
            </w:tcMar>
          </w:tcPr>
          <w:p>
            <w:pPr>
              <w:jc w:val="center"/>
            </w:pPr>
            <w:r>
              <w:rPr>
                <w:rFonts w:ascii="Arial" w:cs="Arial" w:eastAsia="Arial" w:hAnsi="Arial"/>
                <w:b/>
                <w:bCs/>
                <w:color w:val="FFFFFF"/>
                <w:sz w:val="28"/>
                <w:szCs w:val="28"/>
              </w:rPr>
              <w:t xml:space="preserve">OSA OBSERVATORY — GOUVERNANCE DES DONNÉES</w:t>
            </w:r>
          </w:p>
          <w:p>
            <w:pPr>
              <w:jc w:val="center"/>
            </w:pPr>
            <w:r>
              <w:rPr>
                <w:rFonts w:ascii="Arial" w:cs="Arial" w:eastAsia="Arial" w:hAnsi="Arial"/>
                <w:b/>
                <w:bCs/>
                <w:color w:val="FFFFFF"/>
                <w:sz w:val="40"/>
                <w:szCs w:val="40"/>
              </w:rPr>
              <w:t xml:space="preserve">SPRINT 15 — RAPPORT FINAL</w:t>
            </w:r>
          </w:p>
          <w:p>
            <w:pPr>
              <w:jc w:val="center"/>
            </w:pPr>
            <w:r>
              <w:rPr>
                <w:rFonts w:ascii="Arial" w:cs="Arial" w:eastAsia="Arial" w:hAnsi="Arial"/>
                <w:b/>
                <w:bCs/>
                <w:color w:val="BDD7EE"/>
                <w:sz w:val="24"/>
                <w:szCs w:val="24"/>
              </w:rPr>
              <w:t xml:space="preserve">CLOS — 26 Mai 2026</w:t>
            </w:r>
          </w:p>
          <w:p>
            <w:pPr>
              <w:jc w:val="center"/>
            </w:pPr>
            <w:r>
              <w:rPr>
                <w:rFonts w:ascii="Arial" w:cs="Arial" w:eastAsia="Arial" w:hAnsi="Arial"/>
                <w:i/>
                <w:iCs/>
                <w:color w:val="BDD7EE"/>
                <w:sz w:val="20"/>
                <w:szCs w:val="20"/>
              </w:rPr>
              <w:t xml:space="preserve">E-participation · 540 sujets · 7 types consultation · Cadre scientifique · Doctrine souveraine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240"/>
              <w:bottom w:type="dxa" w:w="120"/>
              <w:right w:type="dxa" w:w="240"/>
            </w:tcMar>
          </w:tcPr>
          <w:p>
            <w:pPr>
              <w:jc w:val="center"/>
            </w:pPr>
            <w:r>
              <w:rPr>
                <w:rFonts w:ascii="Arial" w:cs="Arial" w:eastAsia="Arial" w:hAnsi="Arial"/>
                <w:b/>
                <w:bCs/>
                <w:color w:val="375623"/>
                <w:sz w:val="22"/>
                <w:szCs w:val="22"/>
              </w:rPr>
              <w:t xml:space="preserve">✅  Sprint 15 CLOS — 1 commit — Chaîne e-participation opérationnelle — Première contribution citoyenne approuvée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4E79" w:val="clear"/>
            <w:tcMar>
              <w:top w:type="dxa" w:w="120"/>
              <w:left w:type="dxa" w:w="100"/>
              <w:bottom w:type="dxa" w:w="120"/>
              <w:right w:type="dxa" w:w="100"/>
            </w:tcMar>
            <w:vAlign w:val="center"/>
          </w:tcPr>
          <w:p>
            <w:pPr>
              <w:jc w:val="center"/>
            </w:pPr>
            <w:r>
              <w:rPr>
                <w:rFonts w:ascii="Arial" w:cs="Arial" w:eastAsia="Arial" w:hAnsi="Arial"/>
                <w:b/>
                <w:bCs/>
                <w:color w:val="FFFFFF"/>
                <w:sz w:val="52"/>
                <w:szCs w:val="52"/>
              </w:rPr>
              <w:t xml:space="preserve">540</w:t>
            </w:r>
          </w:p>
          <w:p>
            <w:pPr>
              <w:jc w:val="center"/>
            </w:pPr>
            <w:r>
              <w:rPr>
                <w:rFonts w:ascii="Arial" w:cs="Arial" w:eastAsia="Arial" w:hAnsi="Arial"/>
                <w:color w:val="BDD7EE"/>
                <w:sz w:val="18"/>
                <w:szCs w:val="18"/>
              </w:rPr>
              <w:t xml:space="preserve">sujets consultation</w:t>
            </w:r>
          </w:p>
        </w:tc>
        <w:tc>
          <w:tcPr>
            <w:tcW w:type="dxa" w:w="1872"/>
            <w:tcBorders>
              <w:top w:val="single" w:color="CCCCCC" w:sz="1"/>
              <w:left w:val="single" w:color="CCCCCC" w:sz="1"/>
              <w:bottom w:val="single" w:color="CCCCCC" w:sz="1"/>
              <w:right w:val="single" w:color="CCCCCC" w:sz="1"/>
            </w:tcBorders>
            <w:shd w:fill="2E75B6" w:val="clear"/>
            <w:tcMar>
              <w:top w:type="dxa" w:w="120"/>
              <w:left w:type="dxa" w:w="100"/>
              <w:bottom w:type="dxa" w:w="120"/>
              <w:right w:type="dxa" w:w="100"/>
            </w:tcMar>
            <w:vAlign w:val="center"/>
          </w:tcPr>
          <w:p>
            <w:pPr>
              <w:jc w:val="center"/>
            </w:pPr>
            <w:r>
              <w:rPr>
                <w:rFonts w:ascii="Arial" w:cs="Arial" w:eastAsia="Arial" w:hAnsi="Arial"/>
                <w:b/>
                <w:bCs/>
                <w:color w:val="FFFFFF"/>
                <w:sz w:val="52"/>
                <w:szCs w:val="52"/>
              </w:rPr>
              <w:t xml:space="preserve">7</w:t>
            </w:r>
          </w:p>
          <w:p>
            <w:pPr>
              <w:jc w:val="center"/>
            </w:pPr>
            <w:r>
              <w:rPr>
                <w:rFonts w:ascii="Arial" w:cs="Arial" w:eastAsia="Arial" w:hAnsi="Arial"/>
                <w:color w:val="BDD7EE"/>
                <w:sz w:val="18"/>
                <w:szCs w:val="18"/>
              </w:rPr>
              <w:t xml:space="preserve">types consultation</w:t>
            </w:r>
          </w:p>
        </w:tc>
        <w:tc>
          <w:tcPr>
            <w:tcW w:type="dxa" w:w="1872"/>
            <w:tcBorders>
              <w:top w:val="single" w:color="CCCCCC" w:sz="1"/>
              <w:left w:val="single" w:color="CCCCCC" w:sz="1"/>
              <w:bottom w:val="single" w:color="CCCCCC" w:sz="1"/>
              <w:right w:val="single" w:color="CCCCCC" w:sz="1"/>
            </w:tcBorders>
            <w:shd w:fill="C55A11" w:val="clear"/>
            <w:tcMar>
              <w:top w:type="dxa" w:w="120"/>
              <w:left w:type="dxa" w:w="100"/>
              <w:bottom w:type="dxa" w:w="120"/>
              <w:right w:type="dxa" w:w="100"/>
            </w:tcMar>
            <w:vAlign w:val="center"/>
          </w:tcPr>
          <w:p>
            <w:pPr>
              <w:jc w:val="center"/>
            </w:pPr>
            <w:r>
              <w:rPr>
                <w:rFonts w:ascii="Arial" w:cs="Arial" w:eastAsia="Arial" w:hAnsi="Arial"/>
                <w:b/>
                <w:bCs/>
                <w:color w:val="FFFFFF"/>
                <w:sz w:val="52"/>
                <w:szCs w:val="52"/>
              </w:rPr>
              <w:t xml:space="preserve">54</w:t>
            </w:r>
          </w:p>
          <w:p>
            <w:pPr>
              <w:jc w:val="center"/>
            </w:pPr>
            <w:r>
              <w:rPr>
                <w:rFonts w:ascii="Arial" w:cs="Arial" w:eastAsia="Arial" w:hAnsi="Arial"/>
                <w:color w:val="BDD7EE"/>
                <w:sz w:val="18"/>
                <w:szCs w:val="18"/>
              </w:rPr>
              <w:t xml:space="preserve">pays africains</w:t>
            </w:r>
          </w:p>
        </w:tc>
        <w:tc>
          <w:tcPr>
            <w:tcW w:type="dxa" w:w="1872"/>
            <w:tcBorders>
              <w:top w:val="single" w:color="CCCCCC" w:sz="1"/>
              <w:left w:val="single" w:color="CCCCCC" w:sz="1"/>
              <w:bottom w:val="single" w:color="CCCCCC" w:sz="1"/>
              <w:right w:val="single" w:color="CCCCCC" w:sz="1"/>
            </w:tcBorders>
            <w:shd w:fill="375623" w:val="clear"/>
            <w:tcMar>
              <w:top w:type="dxa" w:w="120"/>
              <w:left w:type="dxa" w:w="100"/>
              <w:bottom w:type="dxa" w:w="120"/>
              <w:right w:type="dxa" w:w="100"/>
            </w:tcMar>
            <w:vAlign w:val="center"/>
          </w:tcPr>
          <w:p>
            <w:pPr>
              <w:jc w:val="center"/>
            </w:pPr>
            <w:r>
              <w:rPr>
                <w:rFonts w:ascii="Arial" w:cs="Arial" w:eastAsia="Arial" w:hAnsi="Arial"/>
                <w:b/>
                <w:bCs/>
                <w:color w:val="FFFFFF"/>
                <w:sz w:val="52"/>
                <w:szCs w:val="52"/>
              </w:rPr>
              <w:t xml:space="preserve">10</w:t>
            </w:r>
          </w:p>
          <w:p>
            <w:pPr>
              <w:jc w:val="center"/>
            </w:pPr>
            <w:r>
              <w:rPr>
                <w:rFonts w:ascii="Arial" w:cs="Arial" w:eastAsia="Arial" w:hAnsi="Arial"/>
                <w:color w:val="BDD7EE"/>
                <w:sz w:val="18"/>
                <w:szCs w:val="18"/>
              </w:rPr>
              <w:t xml:space="preserve">endpoints API</w:t>
            </w:r>
          </w:p>
        </w:tc>
        <w:tc>
          <w:tcPr>
            <w:tcW w:type="dxa" w:w="1872"/>
            <w:tcBorders>
              <w:top w:val="single" w:color="CCCCCC" w:sz="1"/>
              <w:left w:val="single" w:color="CCCCCC" w:sz="1"/>
              <w:bottom w:val="single" w:color="CCCCCC" w:sz="1"/>
              <w:right w:val="single" w:color="CCCCCC" w:sz="1"/>
            </w:tcBorders>
            <w:shd w:fill="2E75B6" w:val="clear"/>
            <w:tcMar>
              <w:top w:type="dxa" w:w="120"/>
              <w:left w:type="dxa" w:w="100"/>
              <w:bottom w:type="dxa" w:w="120"/>
              <w:right w:type="dxa" w:w="100"/>
            </w:tcMar>
            <w:vAlign w:val="center"/>
          </w:tcPr>
          <w:p>
            <w:pPr>
              <w:jc w:val="center"/>
            </w:pPr>
            <w:r>
              <w:rPr>
                <w:rFonts w:ascii="Arial" w:cs="Arial" w:eastAsia="Arial" w:hAnsi="Arial"/>
                <w:b/>
                <w:bCs/>
                <w:color w:val="FFFFFF"/>
                <w:sz w:val="52"/>
                <w:szCs w:val="52"/>
              </w:rPr>
              <w:t xml:space="preserve">1</w:t>
            </w:r>
          </w:p>
          <w:p>
            <w:pPr>
              <w:jc w:val="center"/>
            </w:pPr>
            <w:r>
              <w:rPr>
                <w:rFonts w:ascii="Arial" w:cs="Arial" w:eastAsia="Arial" w:hAnsi="Arial"/>
                <w:color w:val="BDD7EE"/>
                <w:sz w:val="18"/>
                <w:szCs w:val="18"/>
              </w:rPr>
              <w:t xml:space="preserve">contribution approuvée</w:t>
            </w:r>
          </w:p>
        </w:tc>
      </w:tr>
    </w:tbl>
    <w:p>
      <w:pPr>
        <w:spacing w:after="100" w:before="100"/>
      </w:pPr>
      <w:r>
        <w:t xml:space="preserve"/>
      </w:r>
    </w:p>
    <w:p>
      <w:pPr>
        <w:pStyle w:val="Heading1"/>
        <w:pBdr>
          <w:bottom w:val="single" w:color="1F4E79" w:sz="8" w:space="4"/>
        </w:pBdr>
        <w:spacing w:after="180" w:before="360"/>
      </w:pPr>
      <w:r>
        <w:rPr>
          <w:rFonts w:ascii="Arial" w:cs="Arial" w:eastAsia="Arial" w:hAnsi="Arial"/>
          <w:b/>
          <w:bCs/>
          <w:color w:val="1F4E79"/>
          <w:sz w:val="34"/>
          <w:szCs w:val="34"/>
        </w:rPr>
        <w:t xml:space="preserve">1. Contexte et objectifs Sprint 15</w:t>
      </w:r>
    </w:p>
    <w:p>
      <w:pPr>
        <w:spacing w:after="80" w:before="80"/>
        <w:jc w:val="both"/>
      </w:pPr>
      <w:r>
        <w:rPr>
          <w:rFonts w:ascii="Arial" w:cs="Arial" w:eastAsia="Arial" w:hAnsi="Arial"/>
          <w:b w:val="false"/>
          <w:bCs w:val="false"/>
          <w:i w:val="false"/>
          <w:iCs w:val="false"/>
          <w:color w:val="000000"/>
          <w:sz w:val="22"/>
          <w:szCs w:val="22"/>
        </w:rPr>
        <w:t xml:space="preserve">Sprint 15 est le sprint de la dimension citoyenne de l’OSA. Son objectif était de construire la plateforme de consultation souveraine africaine — le mécanisme qui transforme l’OSA d’un outil analytique institutionnel en observatoire participatif.</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jc w:val="both"/>
            </w:pPr>
            <w:r>
              <w:rPr>
                <w:rFonts w:ascii="Arial" w:cs="Arial" w:eastAsia="Arial" w:hAnsi="Arial"/>
                <w:i/>
                <w:iCs/>
                <w:color w:val="1F4E79"/>
                <w:sz w:val="22"/>
                <w:szCs w:val="22"/>
              </w:rPr>
              <w:t xml:space="preserve">« L’OSA n’est pas un oracle — c’est un observatoire participatif. La consultation scientifique et doctrinale est dans l’ADN du projet. C’est ce qui distingue l’ISA des indices internationaux qui imposent leurs méthodologies sans dialogue. »</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Dimension</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Objectif Sprint 15</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Architecture DB</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Table mg.consultation_responses + 3 vues analytiques + extension politique consultation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7 types consultation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5 types souverains existants + SCIENTIFIC_FRAMEWORK_REVIEW + DOCTRINE_REVIEW</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Chaîne complète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Soumission citoyenne → modération EXPERT → publication → mise à jour statut temps réel</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API 10 endpoints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3 niveaux d’accès : PUBLIC (Couche 0), Affilié standard (Couche 1), Expert (admin)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Correction technique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Alignement topic_type rf.isa_eparticipation_policy + correction jointure vue pub.*</w:t>
            </w:r>
          </w:p>
        </w:tc>
      </w:tr>
    </w:tbl>
    <w:p>
      <w:pPr>
        <w:spacing w:after="100" w:before="100"/>
      </w:pPr>
      <w:r>
        <w:t xml:space="preserve"/>
      </w:r>
    </w:p>
    <w:p>
      <w:pPr>
        <w:pStyle w:val="Heading1"/>
        <w:pBdr>
          <w:bottom w:val="single" w:color="1F4E79" w:sz="8" w:space="4"/>
        </w:pBdr>
        <w:spacing w:after="180" w:before="360"/>
      </w:pPr>
      <w:r>
        <w:rPr>
          <w:rFonts w:ascii="Arial" w:cs="Arial" w:eastAsia="Arial" w:hAnsi="Arial"/>
          <w:b/>
          <w:bCs/>
          <w:color w:val="1F4E79"/>
          <w:sz w:val="34"/>
          <w:szCs w:val="34"/>
        </w:rPr>
        <w:t xml:space="preserve">2. Chantiers Sprint 15</w:t>
      </w:r>
    </w:p>
    <w:p>
      <w:pPr>
        <w:pStyle w:val="Heading2"/>
        <w:spacing w:after="120" w:before="240"/>
      </w:pPr>
      <w:r>
        <w:rPr>
          <w:rFonts w:ascii="Arial" w:cs="Arial" w:eastAsia="Arial" w:hAnsi="Arial"/>
          <w:b/>
          <w:bCs/>
          <w:color w:val="2E75B6"/>
          <w:sz w:val="26"/>
          <w:szCs w:val="26"/>
        </w:rPr>
        <w:t xml:space="preserve">2.1 Extension de la politique de consultation — 7 types</w:t>
      </w:r>
    </w:p>
    <w:p>
      <w:pPr>
        <w:spacing w:after="80" w:before="80"/>
        <w:jc w:val="both"/>
      </w:pPr>
      <w:r>
        <w:rPr>
          <w:rFonts w:ascii="Arial" w:cs="Arial" w:eastAsia="Arial" w:hAnsi="Arial"/>
          <w:b w:val="false"/>
          <w:bCs w:val="false"/>
          <w:i w:val="false"/>
          <w:iCs w:val="false"/>
          <w:color w:val="000000"/>
          <w:sz w:val="22"/>
          <w:szCs w:val="22"/>
        </w:rPr>
        <w:t xml:space="preserve">La table `rf.isa_public_consultation_policy` a été étendue avec 2 nouveaux types de consultation qui correspondent à la dimension scientifique et doctrinale de l’OSA.</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240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Type de consultation</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Label</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Public cible</w:t>
            </w:r>
          </w:p>
        </w:tc>
      </w:tr>
      <w:tr>
        <w:tc>
          <w:tcPr>
            <w:tcW w:type="dxa" w:w="3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RISK_EVIDENCE_REVIEW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Revue des preuves de risque et menace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Chercheurs, ONGs, institutions</w:t>
            </w:r>
          </w:p>
        </w:tc>
      </w:tr>
      <w:tr>
        <w:tc>
          <w:tcPr>
            <w:tcW w:type="dxa" w:w="3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bCs/>
                <w:i w:val="false"/>
                <w:iCs w:val="false"/>
                <w:color w:val="C55A11"/>
                <w:sz w:val="20"/>
                <w:szCs w:val="20"/>
              </w:rPr>
              <w:t xml:space="preserve">WEAKNESS_DIAGNOSTIC_REVIEW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Revue publique des faiblesses observées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Gouvernements, société civile</w:t>
            </w:r>
          </w:p>
        </w:tc>
      </w:tr>
      <w:tr>
        <w:tc>
          <w:tcPr>
            <w:tcW w:type="dxa" w:w="3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OPPORTUNITY_EXPLORATION_FEEDBACK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Exploration publique des opportunités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Investisseurs, bailleurs</w:t>
            </w:r>
          </w:p>
        </w:tc>
      </w:tr>
      <w:tr>
        <w:tc>
          <w:tcPr>
            <w:tcW w:type="dxa" w:w="3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STRENGTH_REPLICATION_FEEDBACK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Retours sur forces réplicables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Gouvernements, pairs africains</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GENERAL_OBSERVATORY_FEEDBACK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Feedback général observatoire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Tous publics</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SCIENTIFIC_FRAMEWORK_REVIEW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Revue du cadre scientifique ISA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Chercheurs, Conseil scientifique</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DOCTRINE_REVIEW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Revue de la doctrine souveraine OSA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Gouvernements, Conseil scientifique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F0" w:val="clear"/>
            <w:tcMar>
              <w:top w:type="dxa" w:w="160"/>
              <w:left w:type="dxa" w:w="240"/>
              <w:bottom w:type="dxa" w:w="160"/>
              <w:right w:type="dxa" w:w="240"/>
            </w:tcMar>
          </w:tcPr>
          <w:p>
            <w:pPr>
              <w:jc w:val="both"/>
            </w:pPr>
            <w:r>
              <w:rPr>
                <w:rFonts w:ascii="Arial" w:cs="Arial" w:eastAsia="Arial" w:hAnsi="Arial"/>
                <w:i/>
                <w:iCs/>
                <w:color w:val="C55A11"/>
                <w:sz w:val="22"/>
                <w:szCs w:val="22"/>
              </w:rPr>
              <w:t xml:space="preserve">Décision doctrinale fondatrice : les retours SCIENTIFIC_FRAMEWORK_REVIEW et DOCTRINE_REVIEW alimentent l’agenda du Conseil scientifique OSA — pas directement le pipeline de calcul. L’arbitrage final appartient au Conseil.</w:t>
            </w:r>
          </w:p>
        </w:tc>
      </w:tr>
    </w:tbl>
    <w:p>
      <w:pPr>
        <w:spacing w:after="100" w:before="100"/>
      </w:pPr>
      <w:r>
        <w:t xml:space="preserve"/>
      </w:r>
    </w:p>
    <w:p>
      <w:pPr>
        <w:pStyle w:val="Heading2"/>
        <w:spacing w:after="120" w:before="240"/>
      </w:pPr>
      <w:r>
        <w:rPr>
          <w:rFonts w:ascii="Arial" w:cs="Arial" w:eastAsia="Arial" w:hAnsi="Arial"/>
          <w:b/>
          <w:bCs/>
          <w:color w:val="2E75B6"/>
          <w:sz w:val="26"/>
          <w:szCs w:val="26"/>
        </w:rPr>
        <w:t xml:space="preserve">2.2 Table mg.consultation_responses</w:t>
      </w:r>
    </w:p>
    <w:p>
      <w:pPr>
        <w:spacing w:after="80" w:before="80"/>
        <w:jc w:val="both"/>
      </w:pPr>
      <w:r>
        <w:rPr>
          <w:rFonts w:ascii="Arial" w:cs="Arial" w:eastAsia="Arial" w:hAnsi="Arial"/>
          <w:b w:val="false"/>
          <w:bCs w:val="false"/>
          <w:i w:val="false"/>
          <w:iCs w:val="false"/>
          <w:color w:val="000000"/>
          <w:sz w:val="22"/>
          <w:szCs w:val="22"/>
        </w:rPr>
        <w:t xml:space="preserve">La table des réponses citoyennes stocke toutes les contributions soumises avec modération obligatoire avant publication.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Colonne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Type</w:t>
            </w:r>
          </w:p>
        </w:tc>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Signification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country_iso3 / pillar_code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CHAR(3) / VARCHAR</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Contexte souverain. pillar_code NULL si consultation globale (SCIENTIFIC/DOCTRINE).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consultation_type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TEXT NOT NULL</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L’un des 7 types validés par contrainte CHECK.</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response_text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TEXT NOT NULL</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Contribution minimale de 20 caractères.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position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TEXT</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SUPPORT / CHALLENGE / NEUTRAL / EVIDENCE.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affiliation_id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BIGINT FK</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Lien optionnel vers rf.affiliations. NULL si anonyme.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moderation_status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TEXT DEFAULT PENDING</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PENDING → APPROVED ou REJECTED. Modération obligatoire.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is_public</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BOOLEAN DEFAULT FALSE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Passe à TRUE uniquement après APPROVED.</w:t>
            </w:r>
          </w:p>
        </w:tc>
      </w:tr>
    </w:tbl>
    <w:p>
      <w:pPr>
        <w:spacing w:after="100" w:before="100"/>
      </w:pPr>
      <w:r>
        <w:t xml:space="preserve"/>
      </w:r>
    </w:p>
    <w:p>
      <w:pPr>
        <w:pStyle w:val="Heading2"/>
        <w:spacing w:after="120" w:before="240"/>
      </w:pPr>
      <w:r>
        <w:rPr>
          <w:rFonts w:ascii="Arial" w:cs="Arial" w:eastAsia="Arial" w:hAnsi="Arial"/>
          <w:b/>
          <w:bCs/>
          <w:color w:val="2E75B6"/>
          <w:sz w:val="26"/>
          <w:szCs w:val="26"/>
        </w:rPr>
        <w:t xml:space="preserve">2.3 Vues analytiques e-participation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240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Vue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Source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Volume</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ma.v_isa_eparticipation_queue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P7J + rf.isa_eparticipation_policy + mg.consultation_responses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540 sujets (54 x 10 piliers)</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ma.v_isa_eparticipation_priorities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ma.v_isa_eparticipation_queue (agrégation)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54 pays</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pub.v_isa_public_consultation_topics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ma.v_isa_eparticipation_queue + rf.isa_public_consultation_policy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540 sujets Couche 0</w:t>
            </w:r>
          </w:p>
        </w:tc>
      </w:tr>
    </w:tbl>
    <w:p>
      <w:pPr>
        <w:spacing w:after="100" w:before="100"/>
      </w:pPr>
      <w:r>
        <w:t xml:space="preserve"/>
      </w:r>
    </w:p>
    <w:p>
      <w:pPr>
        <w:spacing w:after="80" w:before="80"/>
        <w:jc w:val="both"/>
      </w:pPr>
      <w:r>
        <w:rPr>
          <w:rFonts w:ascii="Arial" w:cs="Arial" w:eastAsia="Arial" w:hAnsi="Arial"/>
          <w:b w:val="false"/>
          <w:bCs w:val="false"/>
          <w:i w:val="false"/>
          <w:iCs w:val="false"/>
          <w:color w:val="000000"/>
          <w:sz w:val="22"/>
          <w:szCs w:val="22"/>
        </w:rPr>
        <w:t xml:space="preserve">La vue `ma.v_isa_eparticipation_queue` détermine le type de consultation par la trajectoire P7J : CRITICAL → RISK_EVIDENCE_REVIEW, DECLINING → WEAKNESS_DIAGNOSTIC_REVIEW, ACCELERATING/PROGRESSING → STRENGTH_REPLICATION_FEEDBACK, STABLE+PRIORITY_HIGH → OPPORTUNITY_EXPLORATION, STABLE → GENERAL_OBSERVATORY_FEEDBACK.</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2.4 Router e-participation — 10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3000"/>
        <w:gridCol w:w="1200"/>
        <w:gridCol w:w="4200"/>
      </w:tblGrid>
      <w:tr>
        <w:tc>
          <w:tcPr>
            <w:tcW w:type="dxa" w:w="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Méth.</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Accès</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Fonction</w:t>
            </w:r>
          </w:p>
        </w:tc>
      </w:tr>
      <w:tr>
        <w:tc>
          <w:tcPr>
            <w:tcW w:type="dxa" w:w="96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Courier New" w:cs="Courier New" w:eastAsia="Courier New" w:hAnsi="Courier New"/>
                <w:b/>
                <w:bCs/>
                <w:color w:val="FFFFFF"/>
                <w:sz w:val="18"/>
                <w:szCs w:val="18"/>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000000"/>
                <w:sz w:val="18"/>
                <w:szCs w:val="18"/>
              </w:rPr>
              <w:t xml:space="preserve">/consultation/topics</w:t>
            </w:r>
          </w:p>
        </w:tc>
        <w:tc>
          <w:tcPr>
            <w:tcW w:type="dxa" w:w="12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r>
              <w:rPr>
                <w:rFonts w:ascii="Arial" w:cs="Arial" w:eastAsia="Arial" w:hAnsi="Arial"/>
                <w:b/>
                <w:bCs/>
                <w:color w:val="375623"/>
                <w:sz w:val="18"/>
                <w:szCs w:val="18"/>
              </w:rPr>
              <w:t xml:space="preserve">PUBLIC</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540 sujets ouverts -- filtres type/région/priorité</w:t>
            </w:r>
          </w:p>
        </w:tc>
      </w:tr>
      <w:tr>
        <w:tc>
          <w:tcPr>
            <w:tcW w:type="dxa" w:w="96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Courier New" w:cs="Courier New" w:eastAsia="Courier New" w:hAnsi="Courier New"/>
                <w:b/>
                <w:bCs/>
                <w:color w:val="FFFFFF"/>
                <w:sz w:val="18"/>
                <w:szCs w:val="18"/>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000000"/>
                <w:sz w:val="18"/>
                <w:szCs w:val="18"/>
              </w:rPr>
              <w:t xml:space="preserve">/consultation/topics/{iso3}</w:t>
            </w:r>
          </w:p>
        </w:tc>
        <w:tc>
          <w:tcPr>
            <w:tcW w:type="dxa" w:w="12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r>
              <w:rPr>
                <w:rFonts w:ascii="Arial" w:cs="Arial" w:eastAsia="Arial" w:hAnsi="Arial"/>
                <w:b/>
                <w:bCs/>
                <w:color w:val="375623"/>
                <w:sz w:val="18"/>
                <w:szCs w:val="18"/>
              </w:rPr>
              <w:t xml:space="preserve">PUBLIC</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Sujets par pays</w:t>
            </w:r>
          </w:p>
        </w:tc>
      </w:tr>
      <w:tr>
        <w:tc>
          <w:tcPr>
            <w:tcW w:type="dxa" w:w="96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Courier New" w:cs="Courier New" w:eastAsia="Courier New" w:hAnsi="Courier New"/>
                <w:b/>
                <w:bCs/>
                <w:color w:val="FFFFFF"/>
                <w:sz w:val="18"/>
                <w:szCs w:val="18"/>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000000"/>
                <w:sz w:val="18"/>
                <w:szCs w:val="18"/>
              </w:rPr>
              <w:t xml:space="preserve">/consultation/topics/type/{type}</w:t>
            </w:r>
          </w:p>
        </w:tc>
        <w:tc>
          <w:tcPr>
            <w:tcW w:type="dxa" w:w="12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r>
              <w:rPr>
                <w:rFonts w:ascii="Arial" w:cs="Arial" w:eastAsia="Arial" w:hAnsi="Arial"/>
                <w:b/>
                <w:bCs/>
                <w:color w:val="375623"/>
                <w:sz w:val="18"/>
                <w:szCs w:val="18"/>
              </w:rPr>
              <w:t xml:space="preserve">PUBLIC</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Sujets par type de consultation</w:t>
            </w:r>
          </w:p>
        </w:tc>
      </w:tr>
      <w:tr>
        <w:tc>
          <w:tcPr>
            <w:tcW w:type="dxa" w:w="96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Courier New" w:cs="Courier New" w:eastAsia="Courier New" w:hAnsi="Courier New"/>
                <w:b/>
                <w:bCs/>
                <w:color w:val="FFFFFF"/>
                <w:sz w:val="18"/>
                <w:szCs w:val="18"/>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000000"/>
                <w:sz w:val="18"/>
                <w:szCs w:val="18"/>
              </w:rPr>
              <w:t xml:space="preserve">/consultation/submit</w:t>
            </w:r>
          </w:p>
        </w:tc>
        <w:tc>
          <w:tcPr>
            <w:tcW w:type="dxa" w:w="12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r>
              <w:rPr>
                <w:rFonts w:ascii="Arial" w:cs="Arial" w:eastAsia="Arial" w:hAnsi="Arial"/>
                <w:b/>
                <w:bCs/>
                <w:color w:val="375623"/>
                <w:sz w:val="18"/>
                <w:szCs w:val="18"/>
              </w:rPr>
              <w:t xml:space="preserve">PUBLIC</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Soumettre une contribution citoyenne</w:t>
            </w:r>
          </w:p>
        </w:tc>
      </w:tr>
      <w:tr>
        <w:tc>
          <w:tcPr>
            <w:tcW w:type="dxa" w:w="96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Courier New" w:cs="Courier New" w:eastAsia="Courier New" w:hAnsi="Courier New"/>
                <w:b/>
                <w:bCs/>
                <w:color w:val="FFFFFF"/>
                <w:sz w:val="18"/>
                <w:szCs w:val="18"/>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000000"/>
                <w:sz w:val="18"/>
                <w:szCs w:val="18"/>
              </w:rPr>
              <w:t xml:space="preserve">/consultation/queue</w:t>
            </w:r>
          </w:p>
        </w:tc>
        <w:tc>
          <w:tcPr>
            <w:tcW w:type="dxa" w:w="1200"/>
            <w:tcBorders>
              <w:top w:val="single" w:color="CCCCCC" w:sz="1"/>
              <w:left w:val="single" w:color="CCCCCC" w:sz="1"/>
              <w:bottom w:val="single" w:color="CCCCCC" w:sz="1"/>
              <w:right w:val="single" w:color="CCCCCC" w:sz="1"/>
            </w:tcBorders>
            <w:shd w:fill="D6E4F0" w:val="clear"/>
            <w:tcMar>
              <w:top w:type="dxa" w:w="60"/>
              <w:left w:type="dxa" w:w="80"/>
              <w:bottom w:type="dxa" w:w="60"/>
              <w:right w:type="dxa" w:w="80"/>
            </w:tcMar>
          </w:tcPr>
          <w:p>
            <w:r>
              <w:rPr>
                <w:rFonts w:ascii="Arial" w:cs="Arial" w:eastAsia="Arial" w:hAnsi="Arial"/>
                <w:b/>
                <w:bCs/>
                <w:color w:val="1F4E79"/>
                <w:sz w:val="18"/>
                <w:szCs w:val="18"/>
              </w:rPr>
              <w:t xml:space="preserve">STANDARD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File prioritaire complète avec données P7J</w:t>
            </w:r>
          </w:p>
        </w:tc>
      </w:tr>
      <w:tr>
        <w:tc>
          <w:tcPr>
            <w:tcW w:type="dxa" w:w="96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Courier New" w:cs="Courier New" w:eastAsia="Courier New" w:hAnsi="Courier New"/>
                <w:b/>
                <w:bCs/>
                <w:color w:val="FFFFFF"/>
                <w:sz w:val="18"/>
                <w:szCs w:val="18"/>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000000"/>
                <w:sz w:val="18"/>
                <w:szCs w:val="18"/>
              </w:rPr>
              <w:t xml:space="preserve">/consultation/queue/{iso3}</w:t>
            </w:r>
          </w:p>
        </w:tc>
        <w:tc>
          <w:tcPr>
            <w:tcW w:type="dxa" w:w="1200"/>
            <w:tcBorders>
              <w:top w:val="single" w:color="CCCCCC" w:sz="1"/>
              <w:left w:val="single" w:color="CCCCCC" w:sz="1"/>
              <w:bottom w:val="single" w:color="CCCCCC" w:sz="1"/>
              <w:right w:val="single" w:color="CCCCCC" w:sz="1"/>
            </w:tcBorders>
            <w:shd w:fill="D6E4F0" w:val="clear"/>
            <w:tcMar>
              <w:top w:type="dxa" w:w="60"/>
              <w:left w:type="dxa" w:w="80"/>
              <w:bottom w:type="dxa" w:w="60"/>
              <w:right w:type="dxa" w:w="80"/>
            </w:tcMar>
          </w:tcPr>
          <w:p>
            <w:r>
              <w:rPr>
                <w:rFonts w:ascii="Arial" w:cs="Arial" w:eastAsia="Arial" w:hAnsi="Arial"/>
                <w:b/>
                <w:bCs/>
                <w:color w:val="1F4E79"/>
                <w:sz w:val="18"/>
                <w:szCs w:val="18"/>
              </w:rPr>
              <w:t xml:space="preserve">STANDARD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File par pays</w:t>
            </w:r>
          </w:p>
        </w:tc>
      </w:tr>
      <w:tr>
        <w:tc>
          <w:tcPr>
            <w:tcW w:type="dxa" w:w="96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Courier New" w:cs="Courier New" w:eastAsia="Courier New" w:hAnsi="Courier New"/>
                <w:b/>
                <w:bCs/>
                <w:color w:val="FFFFFF"/>
                <w:sz w:val="18"/>
                <w:szCs w:val="18"/>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000000"/>
                <w:sz w:val="18"/>
                <w:szCs w:val="18"/>
              </w:rPr>
              <w:t xml:space="preserve">/consultation/priorities</w:t>
            </w:r>
          </w:p>
        </w:tc>
        <w:tc>
          <w:tcPr>
            <w:tcW w:type="dxa" w:w="1200"/>
            <w:tcBorders>
              <w:top w:val="single" w:color="CCCCCC" w:sz="1"/>
              <w:left w:val="single" w:color="CCCCCC" w:sz="1"/>
              <w:bottom w:val="single" w:color="CCCCCC" w:sz="1"/>
              <w:right w:val="single" w:color="CCCCCC" w:sz="1"/>
            </w:tcBorders>
            <w:shd w:fill="D6E4F0" w:val="clear"/>
            <w:tcMar>
              <w:top w:type="dxa" w:w="60"/>
              <w:left w:type="dxa" w:w="80"/>
              <w:bottom w:type="dxa" w:w="60"/>
              <w:right w:type="dxa" w:w="80"/>
            </w:tcMar>
          </w:tcPr>
          <w:p>
            <w:r>
              <w:rPr>
                <w:rFonts w:ascii="Arial" w:cs="Arial" w:eastAsia="Arial" w:hAnsi="Arial"/>
                <w:b/>
                <w:bCs/>
                <w:color w:val="1F4E79"/>
                <w:sz w:val="18"/>
                <w:szCs w:val="18"/>
              </w:rPr>
              <w:t xml:space="preserve">STANDARD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Score d’engagement par pays</w:t>
            </w:r>
          </w:p>
        </w:tc>
      </w:tr>
      <w:tr>
        <w:tc>
          <w:tcPr>
            <w:tcW w:type="dxa" w:w="96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Courier New" w:cs="Courier New" w:eastAsia="Courier New" w:hAnsi="Courier New"/>
                <w:b/>
                <w:bCs/>
                <w:color w:val="FFFFFF"/>
                <w:sz w:val="18"/>
                <w:szCs w:val="18"/>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000000"/>
                <w:sz w:val="18"/>
                <w:szCs w:val="18"/>
              </w:rPr>
              <w:t xml:space="preserve">/consultation/admin/pending</w:t>
            </w:r>
          </w:p>
        </w:tc>
        <w:tc>
          <w:tcPr>
            <w:tcW w:type="dxa" w:w="120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r>
              <w:rPr>
                <w:rFonts w:ascii="Arial" w:cs="Arial" w:eastAsia="Arial" w:hAnsi="Arial"/>
                <w:b/>
                <w:bCs/>
                <w:color w:val="C00000"/>
                <w:sz w:val="18"/>
                <w:szCs w:val="18"/>
              </w:rPr>
              <w:t xml:space="preserve">EXPERT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Réponses en attente de modération</w:t>
            </w:r>
          </w:p>
        </w:tc>
      </w:tr>
      <w:tr>
        <w:tc>
          <w:tcPr>
            <w:tcW w:type="dxa" w:w="96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tcPr>
          <w:p>
            <w:pPr>
              <w:jc w:val="center"/>
            </w:pPr>
            <w:r>
              <w:rPr>
                <w:rFonts w:ascii="Courier New" w:cs="Courier New" w:eastAsia="Courier New" w:hAnsi="Courier New"/>
                <w:b/>
                <w:bCs/>
                <w:color w:val="FFFFFF"/>
                <w:sz w:val="18"/>
                <w:szCs w:val="18"/>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000000"/>
                <w:sz w:val="18"/>
                <w:szCs w:val="18"/>
              </w:rPr>
              <w:t xml:space="preserve">/consultation/admin/moderate/{id}</w:t>
            </w:r>
          </w:p>
        </w:tc>
        <w:tc>
          <w:tcPr>
            <w:tcW w:type="dxa" w:w="120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r>
              <w:rPr>
                <w:rFonts w:ascii="Arial" w:cs="Arial" w:eastAsia="Arial" w:hAnsi="Arial"/>
                <w:b/>
                <w:bCs/>
                <w:color w:val="C00000"/>
                <w:sz w:val="18"/>
                <w:szCs w:val="18"/>
              </w:rPr>
              <w:t xml:space="preserve">EXPERT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Approuver ou rejeter une réponse</w:t>
            </w:r>
          </w:p>
        </w:tc>
      </w:tr>
    </w:tbl>
    <w:p>
      <w:pPr>
        <w:spacing w:after="100" w:before="100"/>
      </w:pPr>
      <w:r>
        <w:t xml:space="preserve"/>
      </w:r>
    </w:p>
    <w:p>
      <w:pPr>
        <w:pStyle w:val="Heading2"/>
        <w:spacing w:after="120" w:before="240"/>
      </w:pPr>
      <w:r>
        <w:rPr>
          <w:rFonts w:ascii="Arial" w:cs="Arial" w:eastAsia="Arial" w:hAnsi="Arial"/>
          <w:b/>
          <w:bCs/>
          <w:color w:val="2E75B6"/>
          <w:sz w:val="26"/>
          <w:szCs w:val="26"/>
        </w:rPr>
        <w:t xml:space="preserve">2.5 Test de validation -- Chaîne complète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400"/>
        <w:gridCol w:w="2160"/>
      </w:tblGrid>
      <w:tr>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Test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Résultat attendu</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Résultat obtenu</w:t>
            </w:r>
          </w:p>
        </w:tc>
      </w:tr>
      <w:tr>
        <w:tc>
          <w:tcPr>
            <w:tcW w:type="dxa" w:w="4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GET /topics/SEN — 10 sujets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10 piliers avec type consultation</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 10 sujets</w:t>
            </w:r>
          </w:p>
        </w:tc>
      </w:tr>
      <w:tr>
        <w:tc>
          <w:tcPr>
            <w:tcW w:type="dxa" w:w="4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POST /submit — IRD Dakar SEN/PENV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response_id=1 PENDING</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 SUBMITTED</w:t>
            </w:r>
          </w:p>
        </w:tc>
      </w:tr>
      <w:tr>
        <w:tc>
          <w:tcPr>
            <w:tcW w:type="dxa" w:w="4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GET /admin/pending — clé EXPERT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1 réponse PENDING</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 1 réponse</w:t>
            </w:r>
          </w:p>
        </w:tc>
      </w:tr>
      <w:tr>
        <w:tc>
          <w:tcPr>
            <w:tcW w:type="dxa" w:w="4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POST /admin/moderate/1 APPROVED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is_public=true</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 APPROVED</w:t>
            </w:r>
          </w:p>
        </w:tc>
      </w:tr>
      <w:tr>
        <w:tc>
          <w:tcPr>
            <w:tcW w:type="dxa" w:w="4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Vue SEN/PENV après approbation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ACTIVE_WITH_RESPONSES</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 1 réponse approuvée</w:t>
            </w:r>
          </w:p>
        </w:tc>
      </w:tr>
    </w:tbl>
    <w:p>
      <w:pPr>
        <w:spacing w:after="100" w:before="100"/>
      </w:pPr>
      <w:r>
        <w:t xml:space="preserve"/>
      </w:r>
    </w:p>
    <w:p>
      <w:pPr>
        <w:pStyle w:val="Heading2"/>
        <w:spacing w:after="120" w:before="240"/>
      </w:pPr>
      <w:r>
        <w:rPr>
          <w:rFonts w:ascii="Arial" w:cs="Arial" w:eastAsia="Arial" w:hAnsi="Arial"/>
          <w:b/>
          <w:bCs/>
          <w:color w:val="2E75B6"/>
          <w:sz w:val="26"/>
          <w:szCs w:val="26"/>
        </w:rPr>
        <w:t xml:space="preserve">2.6 Corrections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Problème</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Correction</w:t>
            </w:r>
          </w:p>
        </w:tc>
      </w:tr>
      <w:tr>
        <w:tc>
          <w:tcPr>
            <w:tcW w:type="dxa" w:w="3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topic_type non alignés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4 UPDATE sur rf.isa_eparticipation_policy pour aligner les codes (RISK_EVIDENCE_AND_EXPERT_REVIEW → RISK_EVIDENCE_REVIEW etc.).</w:t>
            </w:r>
          </w:p>
        </w:tc>
      </w:tr>
      <w:tr>
        <w:tc>
          <w:tcPr>
            <w:tcW w:type="dxa" w:w="3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allows_public_comment: null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Jointure pub.v_isa_public_consultation_topics corrigée via cp.consultation_topic_type = q.consultation_type.</w:t>
            </w:r>
          </w:p>
        </w:tc>
      </w:tr>
      <w:tr>
        <w:tc>
          <w:tcPr>
            <w:tcW w:type="dxa" w:w="3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Encodage UTF-8 router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Même correction que Sprint 13 — already inherited via json.dumps(ensure_ascii=False) + Response(charset=utf-8).</w:t>
            </w:r>
          </w:p>
        </w:tc>
      </w:tr>
    </w:tbl>
    <w:p>
      <w:pPr>
        <w:spacing w:after="100" w:before="100"/>
      </w:pPr>
      <w:r>
        <w:t xml:space="preserve"/>
      </w:r>
    </w:p>
    <w:p>
      <w:pPr>
        <w:pStyle w:val="Heading1"/>
        <w:pBdr>
          <w:bottom w:val="single" w:color="1F4E79" w:sz="8" w:space="4"/>
        </w:pBdr>
        <w:spacing w:after="180" w:before="360"/>
      </w:pPr>
      <w:r>
        <w:rPr>
          <w:rFonts w:ascii="Arial" w:cs="Arial" w:eastAsia="Arial" w:hAnsi="Arial"/>
          <w:b/>
          <w:bCs/>
          <w:color w:val="1F4E79"/>
          <w:sz w:val="34"/>
          <w:szCs w:val="34"/>
        </w:rPr>
        <w:t xml:space="preserve">3. Livrables Sprint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33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Type</w:t>
            </w:r>
          </w:p>
        </w:tc>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Livrable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SQL</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db/patch_db/patch_15_eparticipation.sql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7 types consultation + mg.consultation_responses + 3 vues analytiques</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Python</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api/routers/eparticipation.py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10 endpoints 3 niveaux -- soumission -- modération -- consultation scientifique</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Config</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api/main.py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Router e-participation enregistré</w:t>
            </w:r>
          </w:p>
        </w:tc>
      </w:tr>
    </w:tbl>
    <w:p>
      <w:pPr>
        <w:spacing w:after="100" w:before="100"/>
      </w:pPr>
      <w:r>
        <w:t xml:space="preserve"/>
      </w:r>
    </w:p>
    <w:p>
      <w:pPr>
        <w:pStyle w:val="Heading1"/>
        <w:pBdr>
          <w:bottom w:val="single" w:color="1F4E79" w:sz="8" w:space="4"/>
        </w:pBdr>
        <w:spacing w:after="180" w:before="360"/>
      </w:pPr>
      <w:r>
        <w:rPr>
          <w:rFonts w:ascii="Arial" w:cs="Arial" w:eastAsia="Arial" w:hAnsi="Arial"/>
          <w:b/>
          <w:bCs/>
          <w:color w:val="1F4E79"/>
          <w:sz w:val="34"/>
          <w:szCs w:val="34"/>
        </w:rPr>
        <w:t xml:space="preserve">4. Commits Sprint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800"/>
        <w:gridCol w:w="3000"/>
      </w:tblGrid>
      <w:t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Commit</w:t>
            </w:r>
          </w:p>
        </w:tc>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Message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Chantier</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a14d82c</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feat(sprint15): e-participation - 540 sujets consultation - 7 types - soumission moderation - cadre scientifique et doctrine OSA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18"/>
                <w:szCs w:val="18"/>
              </w:rPr>
              <w:t xml:space="preserve">Sprint 15 complet</w:t>
            </w:r>
          </w:p>
        </w:tc>
      </w:tr>
    </w:tbl>
    <w:p>
      <w:pPr>
        <w:spacing w:after="100" w:before="100"/>
      </w:pPr>
      <w:r>
        <w:t xml:space="preserve"/>
      </w:r>
    </w:p>
    <w:p>
      <w:pPr>
        <w:pStyle w:val="Heading1"/>
        <w:pBdr>
          <w:bottom w:val="single" w:color="1F4E79" w:sz="8" w:space="4"/>
        </w:pBdr>
        <w:spacing w:after="180" w:before="360"/>
      </w:pPr>
      <w:r>
        <w:rPr>
          <w:rFonts w:ascii="Arial" w:cs="Arial" w:eastAsia="Arial" w:hAnsi="Arial"/>
          <w:b/>
          <w:bCs/>
          <w:color w:val="1F4E79"/>
          <w:sz w:val="34"/>
          <w:szCs w:val="34"/>
        </w:rPr>
        <w:t xml:space="preserve">5. Décisions doctrinales Sprint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Décision</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Formulation</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Consultation scientifique → Conseil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Les retours SCIENTIFIC_FRAMEWORK_REVIEW et DOCTRINE_REVIEW alimentent l’agenda du Conseil scientifique OSA. Ils ne modifient pas le pipeline de calcul directement. L’arbitrage final appartient au Conseil scientifique.</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Modération obligatoire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Toute contribution citoyenne est PENDING par défaut. Elle n’est publiée (is_public=TRUE) qu’après décision APPROVED par un Expert OSA. Aucune exception.</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Anonymat par défaut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is_anonymous=TRUE par défaut. Le submitter_label n’est conservé que si is_anonymous=FALSE. Les affiliations peuvent être identifiées via affiliation_id.</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Position EVIDENCE prioritaire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Une contribution de position EVIDENCE doit être accompagnée d’une URL vérifiable (evidence_url). La modération vérifie la source avant approbation.</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Statut dynamique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consultation_status (OPEN_NO_RESPONSE / OPEN_PENDING_MODERATION / ACTIVE_WITH_RESPONSES) est calculé en temps réel depuis mg.consultation_responses. Pas de colonne statique.</w:t>
            </w:r>
          </w:p>
        </w:tc>
      </w:tr>
    </w:tbl>
    <w:p>
      <w:pPr>
        <w:spacing w:after="100" w:before="100"/>
      </w:pPr>
      <w:r>
        <w:t xml:space="preserve"/>
      </w:r>
    </w:p>
    <w:p>
      <w:pPr>
        <w:pStyle w:val="Heading1"/>
        <w:pBdr>
          <w:bottom w:val="single" w:color="1F4E79" w:sz="8" w:space="4"/>
        </w:pBdr>
        <w:spacing w:after="180" w:before="360"/>
      </w:pPr>
      <w:r>
        <w:rPr>
          <w:rFonts w:ascii="Arial" w:cs="Arial" w:eastAsia="Arial" w:hAnsi="Arial"/>
          <w:b/>
          <w:bCs/>
          <w:color w:val="1F4E79"/>
          <w:sz w:val="34"/>
          <w:szCs w:val="34"/>
        </w:rPr>
        <w:t xml:space="preserve">6. État du pipeline post-Sprint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0"/>
        <w:gridCol w:w="2400"/>
      </w:tblGrid>
      <w:tr>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Critère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Sprint 14</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Sprint 15</w:t>
            </w:r>
          </w:p>
        </w:tc>
      </w:tr>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Healthcheck pipeline</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 6/6 OK</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 6/6 OK</w:t>
            </w:r>
          </w:p>
        </w:tc>
      </w:tr>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E-participation</w:t>
            </w:r>
          </w:p>
        </w:tc>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 Absent</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 540 sujets opérationnels</w:t>
            </w:r>
          </w:p>
        </w:tc>
      </w:tr>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Consultation scientifique</w:t>
            </w:r>
          </w:p>
        </w:tc>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 Absent</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 SCIENTIFIC_FRAMEWORK_REVIEW</w:t>
            </w:r>
          </w:p>
        </w:tc>
      </w:tr>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Consultation doctrinale</w:t>
            </w:r>
          </w:p>
        </w:tc>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 Absent</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 DOCTRINE_REVIEW</w:t>
            </w:r>
          </w:p>
        </w:tc>
      </w:tr>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Modération citoyenne</w:t>
            </w:r>
          </w:p>
        </w:tc>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 Absent</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 Chaîne complète validée</w:t>
            </w:r>
          </w:p>
        </w:tc>
      </w:tr>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Première contribution approuvée</w:t>
            </w:r>
          </w:p>
        </w:tc>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 Absent</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 IRD Dakar -- SEN/PENV -- EVIDENCE</w:t>
            </w:r>
          </w:p>
        </w:tc>
      </w:tr>
    </w:tbl>
    <w:p>
      <w:pPr>
        <w:spacing w:after="100" w:before="100"/>
      </w:pPr>
      <w:r>
        <w:t xml:space="preserve"/>
      </w:r>
    </w:p>
    <w:p>
      <w:pPr>
        <w:pStyle w:val="Heading1"/>
        <w:pBdr>
          <w:bottom w:val="single" w:color="1F4E79" w:sz="8" w:space="4"/>
        </w:pBdr>
        <w:spacing w:after="180" w:before="360"/>
      </w:pPr>
      <w:r>
        <w:rPr>
          <w:rFonts w:ascii="Arial" w:cs="Arial" w:eastAsia="Arial" w:hAnsi="Arial"/>
          <w:b/>
          <w:bCs/>
          <w:color w:val="1F4E79"/>
          <w:sz w:val="34"/>
          <w:szCs w:val="34"/>
        </w:rPr>
        <w:t xml:space="preserve">7. Héritage Sprint 16 — Sécurisation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jc w:val="both"/>
            </w:pPr>
            <w:r>
              <w:rPr>
                <w:rFonts w:ascii="Arial" w:cs="Arial" w:eastAsia="Arial" w:hAnsi="Arial"/>
                <w:i/>
                <w:iCs/>
                <w:color w:val="1F4E79"/>
                <w:sz w:val="22"/>
                <w:szCs w:val="22"/>
              </w:rPr>
              <w:t xml:space="preserve">La sécurisation est la condition sine qua non du lancement commercial. On ne peut pas ouvrir l’OSA au public sans avoir audité l’infrastructure, sécurisé les accès, chiffré les données sensibles et mis en place un plan de continuité.</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160"/>
        <w:gridCol w:w="540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Prio.</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Chantier</w:t>
            </w:r>
          </w:p>
        </w:tc>
        <w:tc>
          <w:tcPr>
            <w:tcW w:type="dxa" w:w="5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P1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HTTPS/TLS en production</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Chiffrement en transit obligatoire. Certificat SSL vérifié.</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P1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Audit accès API</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Log de toutes les requêtes avec timestamp, token hash et endpoint. Table mg.api_access_log.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P1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Séparation environnements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Production / staging / développement strictement séparés. Pas de clés de développement en production.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C55A11"/>
                <w:sz w:val="20"/>
                <w:szCs w:val="20"/>
              </w:rPr>
              <w:t xml:space="preserve">P2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Protection données souveraines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Chiffrement au repos des données Couche 2. Accès physique PostgreSQL restreint.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C55A11"/>
                <w:sz w:val="20"/>
                <w:szCs w:val="20"/>
              </w:rPr>
              <w:t xml:space="preserve">P2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Détection accès anormaux</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Alerte si token dépasse 3x son rate limit. Blocage automatique.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C55A11"/>
                <w:sz w:val="20"/>
                <w:szCs w:val="20"/>
              </w:rPr>
              <w:t xml:space="preserve">P2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Plan de continuité</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Procédure de restauration PostgreSQL. Backup automatisé quotidien.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P3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Vue matérialisée rankings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mv_isa_country_rankings pour accélérer les 85s actuels vers &lt; 1s.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P3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Suppression définitive fichiers legacy</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Supprimer api_router_*.py et *_sprint7.py du repo.</w:t>
            </w:r>
          </w:p>
        </w:tc>
      </w:tr>
    </w:tbl>
    <w:p>
      <w:pPr>
        <w:spacing w:after="100" w:before="100"/>
      </w:pPr>
      <w:r>
        <w:t xml:space="preserve"/>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320"/>
              <w:bottom w:type="dxa" w:w="200"/>
              <w:right w:type="dxa" w:w="320"/>
            </w:tcMar>
          </w:tcPr>
          <w:p>
            <w:pPr>
              <w:jc w:val="center"/>
            </w:pPr>
            <w:r>
              <w:rPr>
                <w:rFonts w:ascii="Arial" w:cs="Arial" w:eastAsia="Arial" w:hAnsi="Arial"/>
                <w:b/>
                <w:bCs/>
                <w:color w:val="FFFFFF"/>
                <w:sz w:val="30"/>
                <w:szCs w:val="30"/>
              </w:rPr>
              <w:t xml:space="preserve">Sprint 15 CLOS — 26 mai 2026</w:t>
            </w:r>
          </w:p>
          <w:p>
            <w:pPr>
              <w:jc w:val="center"/>
            </w:pPr>
            <w:r>
              <w:rPr>
                <w:rFonts w:ascii="Arial" w:cs="Arial" w:eastAsia="Arial" w:hAnsi="Arial"/>
                <w:i/>
                <w:iCs/>
                <w:color w:val="BDD7EE"/>
                <w:sz w:val="22"/>
                <w:szCs w:val="22"/>
              </w:rPr>
              <w:t xml:space="preserve">540 sujets · 7 types · 10 endpoints · Cadre scientifique · Doctrine souveraine · Première contribution IRD Dakar approuvée</w:t>
            </w:r>
          </w:p>
          <w:p>
            <w:pPr>
              <w:spacing w:before="80"/>
              <w:jc w:val="center"/>
            </w:pPr>
            <w:r>
              <w:rPr>
                <w:rFonts w:ascii="Arial" w:cs="Arial" w:eastAsia="Arial" w:hAnsi="Arial"/>
                <w:i/>
                <w:iCs/>
                <w:color w:val="BDD7EE"/>
                <w:sz w:val="22"/>
                <w:szCs w:val="22"/>
              </w:rPr>
              <w:t xml:space="preserve">L’OSA est désormais un observatoire participatif. Sprint 16 — Sécurisation.</w:t>
            </w:r>
          </w:p>
        </w:tc>
      </w:tr>
    </w:tbl>
    <w:p>
      <w:pPr>
        <w:spacing w:after="100" w:before="100"/>
      </w:pPr>
      <w:r>
        <w:t xml:space="preserve"/>
      </w:r>
    </w:p>
    <w:p>
      <w:pPr>
        <w:spacing w:before="240"/>
        <w:jc w:val="center"/>
      </w:pPr>
      <w:r>
        <w:rPr>
          <w:rFonts w:ascii="Arial" w:cs="Arial" w:eastAsia="Arial" w:hAnsi="Arial"/>
          <w:i/>
          <w:iCs/>
          <w:color w:val="888888"/>
          <w:sz w:val="18"/>
          <w:szCs w:val="18"/>
        </w:rPr>
        <w:t xml:space="preserve">Confidentiel — Usage institutionnel</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OSA Observatory — Rapport final Sprint 15 — Clos 26 Mai 2026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2026-05-26T18:34:53.416Z</dcterms:created>
  <dcterms:modified xsi:type="dcterms:W3CDTF">2026-05-26T18:34:53.430Z</dcterms:modified>
</cp:coreProperties>
</file>

<file path=docProps/custom.xml><?xml version="1.0" encoding="utf-8"?>
<Properties xmlns="http://schemas.openxmlformats.org/officeDocument/2006/custom-properties" xmlns:vt="http://schemas.openxmlformats.org/officeDocument/2006/docPropsVTypes"/>
</file>