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ymraeg-welsh" w:name="cymraeg-welsh"/>
    <w:p>
      <w:pPr>
        <w:pStyle w:val="Heading1"/>
      </w:pPr>
      <w:r>
        <w:t xml:space="preserve">Cymraeg / Welsh</w:t>
      </w:r>
    </w:p>
    <w:bookmarkEnd w:id="cymraeg-welsh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Maes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Grŵp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Cylch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Is-grŵp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Trosgynnol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Calcwlws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Cryno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Di-dor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Cwrl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Differiad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Differol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Differu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Bwlch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Graddiant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Integryn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Integru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Normal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Plân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Dilyniant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Cyfres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Arwyneb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Tangiad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Unffurf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Adio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Osgled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Brasamcan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Mwmpwyol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Rhifyddeg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Tybiaeth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Gwireb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Binomial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Arffin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Caeedig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Cyfernod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Colofn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Cymudol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Cyflenwad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Amod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Amodol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Cysonyn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Canlyneb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Cromlin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Gwanychol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Degol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Gostyngol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Diffiniad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Enwadur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Dwysedd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Dibynnol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Dimensiwn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Arwahanol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Rhannu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Parth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Hafal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Hafaliad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Cywerth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Eilrif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Esbonydd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Ffactor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Meidraidd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Fformiwla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Ffracsiwn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Amledd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Eang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Harmonig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Delwedd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Ymhlygu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Cynyddol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Anwythiad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Cyfanrif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Cyfwng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Gwrthdro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Iteru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Hyd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Terfan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Llinol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Lleol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Rhesymeg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Matrics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Cymedr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Mesur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Canolrif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Modd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Modwlws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Monotonig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Lluosi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Negatif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Rhifiadur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Rhifiadol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Odrif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Un-i-un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Ar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Agored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Trefn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Osgiliad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Paramedr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Rhannol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Rhaniad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Cyfnod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Plân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Pegwn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Positif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Pŵer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Lluoswm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Taflegryn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Prawf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Priodwedd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Gosodiad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Ar hap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Amrediad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Rhif Real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Cilydd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Ymatblyg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Gweddill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Gwrieddyn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Rhes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Sgalar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Arwydd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Datrysiad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Gofod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Sfferig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Is-set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Is-ofod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Tynnu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Digonol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Swm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Cymesur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Trosaidd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Uniad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Gwerth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Fector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Cyflymder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Cyfaint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Ongl Lem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Cyfagos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Echelin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Cylchedd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Cyfesuryn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Gradd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Diamedr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Hirgylch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Geometreg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Hypotenws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Isosgeles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Hyd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Mesur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Metrig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Paralel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Perimedr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Plân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Pedrochr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Radiws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Petryal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Cylchdroi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Cylchro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Cyflun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Arwyneb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Tangiad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Trawsfudo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Trigonometreg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Binomial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Amodol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Dosraniad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Cymedr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Normal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Ar hap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Sampl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Unffurf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Newidyn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Amrywiant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