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structures</w:t>
      </w:r>
    </w:p>
    <w:p>
      <w:pPr>
        <w:pStyle w:val="Heading2"/>
      </w:pPr>
      <w:bookmarkStart w:id="20" w:name="basic-structures"/>
      <w:r>
        <w:t xml:space="preserve">Basic structures</w:t>
      </w:r>
      <w:bookmarkEnd w:id="20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are from “A Guide to</w:t>
      </w:r>
      <w:r>
        <w:t xml:space="preserve"> </w:t>
      </w:r>
      <w:r>
        <w:t xml:space="preserve">LaTeX”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1"/>
          <w:ilvl w:val="0"/>
        </w:numPr>
      </w:pPr>
      <w:r>
        <w:t xml:space="preserve">An itemized list</w:t>
      </w:r>
    </w:p>
    <w:p>
      <w:pPr>
        <w:pStyle w:val="Compact"/>
        <w:numPr>
          <w:numId w:val="1001"/>
          <w:ilvl w:val="0"/>
        </w:numPr>
      </w:pPr>
      <w:r>
        <w:t xml:space="preserve">Using standard itemize</w:t>
      </w:r>
    </w:p>
    <w:p>
      <w:pPr>
        <w:pStyle w:val="Compact"/>
        <w:numPr>
          <w:numId w:val="1002"/>
          <w:ilvl w:val="1"/>
        </w:numPr>
      </w:pPr>
      <w:r>
        <w:t xml:space="preserve">With a level 2 sub-point</w:t>
      </w:r>
    </w:p>
    <w:p>
      <w:pPr>
        <w:pStyle w:val="Compact"/>
        <w:numPr>
          <w:numId w:val="1003"/>
          <w:ilvl w:val="2"/>
        </w:numPr>
      </w:pPr>
      <w:r>
        <w:t xml:space="preserve">With a level 3 sub-point</w:t>
      </w:r>
    </w:p>
    <w:p>
      <w:pPr>
        <w:pStyle w:val="Compact"/>
        <w:numPr>
          <w:numId w:val="1004"/>
          <w:ilvl w:val="3"/>
        </w:numPr>
      </w:pPr>
      <w:r>
        <w:t xml:space="preserve">With a level 4 sub-point</w:t>
      </w:r>
    </w:p>
    <w:p>
      <w:pPr>
        <w:pStyle w:val="Compact"/>
        <w:numPr>
          <w:numId w:val="1001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5"/>
          <w:ilvl w:val="0"/>
        </w:numPr>
      </w:pPr>
      <w:r>
        <w:t xml:space="preserve">An itemized list</w:t>
      </w:r>
    </w:p>
    <w:p>
      <w:pPr>
        <w:pStyle w:val="Compact"/>
        <w:numPr>
          <w:numId w:val="1005"/>
          <w:ilvl w:val="0"/>
        </w:numPr>
      </w:pPr>
      <w:r>
        <w:t xml:space="preserve">Using standard itemize</w:t>
      </w:r>
    </w:p>
    <w:p>
      <w:pPr>
        <w:pStyle w:val="Compact"/>
        <w:numPr>
          <w:numId w:val="1006"/>
          <w:ilvl w:val="1"/>
        </w:numPr>
      </w:pPr>
      <w:r>
        <w:t xml:space="preserve">With a level 2 sub-point</w:t>
      </w:r>
    </w:p>
    <w:p>
      <w:pPr>
        <w:pStyle w:val="Compact"/>
        <w:numPr>
          <w:numId w:val="1007"/>
          <w:ilvl w:val="2"/>
        </w:numPr>
      </w:pPr>
      <w:r>
        <w:t xml:space="preserve">With a level 3 sub-point</w:t>
      </w:r>
    </w:p>
    <w:p>
      <w:pPr>
        <w:pStyle w:val="Compact"/>
        <w:numPr>
          <w:numId w:val="1008"/>
          <w:ilvl w:val="3"/>
        </w:numPr>
      </w:pPr>
      <w:r>
        <w:t xml:space="preserve">With a level 4 sub-point</w:t>
      </w:r>
    </w:p>
    <w:p>
      <w:pPr>
        <w:pStyle w:val="Compact"/>
        <w:numPr>
          <w:numId w:val="1005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09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10"/>
          <w:ilvl w:val="0"/>
        </w:numPr>
      </w:pPr>
      <w:r>
        <w:t xml:space="preserve">An enumerated list</w:t>
      </w:r>
    </w:p>
    <w:p>
      <w:pPr>
        <w:pStyle w:val="Compact"/>
        <w:numPr>
          <w:numId w:val="1010"/>
          <w:ilvl w:val="0"/>
        </w:numPr>
      </w:pPr>
      <w:r>
        <w:t xml:space="preserve">Using standard enumerate</w:t>
      </w:r>
    </w:p>
    <w:p>
      <w:pPr>
        <w:pStyle w:val="Compact"/>
        <w:numPr>
          <w:numId w:val="1011"/>
          <w:ilvl w:val="1"/>
        </w:numPr>
      </w:pPr>
      <w:r>
        <w:t xml:space="preserve">With a level 2 sub-point</w:t>
      </w:r>
    </w:p>
    <w:p>
      <w:pPr>
        <w:pStyle w:val="Compact"/>
        <w:numPr>
          <w:numId w:val="1012"/>
          <w:ilvl w:val="2"/>
        </w:numPr>
      </w:pPr>
      <w:r>
        <w:t xml:space="preserve">With a level 3 sub-point</w:t>
      </w:r>
    </w:p>
    <w:p>
      <w:pPr>
        <w:pStyle w:val="Compact"/>
        <w:numPr>
          <w:numId w:val="1013"/>
          <w:ilvl w:val="3"/>
        </w:numPr>
      </w:pPr>
      <w:r>
        <w:t xml:space="preserve">With a level 4 sub-point</w:t>
      </w:r>
    </w:p>
    <w:p>
      <w:pPr>
        <w:pStyle w:val="Compact"/>
        <w:numPr>
          <w:numId w:val="101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14"/>
          <w:ilvl w:val="0"/>
        </w:numPr>
      </w:pPr>
      <w:r>
        <w:t xml:space="preserve">An enumerated list</w:t>
      </w:r>
    </w:p>
    <w:p>
      <w:pPr>
        <w:pStyle w:val="Compact"/>
        <w:numPr>
          <w:numId w:val="1014"/>
          <w:ilvl w:val="0"/>
        </w:numPr>
      </w:pPr>
      <w:r>
        <w:t xml:space="preserve">Using standard enumerate</w:t>
      </w:r>
    </w:p>
    <w:p>
      <w:pPr>
        <w:pStyle w:val="Compact"/>
        <w:numPr>
          <w:numId w:val="1015"/>
          <w:ilvl w:val="1"/>
        </w:numPr>
      </w:pPr>
      <w:r>
        <w:t xml:space="preserve">With a level 2 sub-point</w:t>
      </w:r>
    </w:p>
    <w:p>
      <w:pPr>
        <w:pStyle w:val="Compact"/>
        <w:numPr>
          <w:numId w:val="1016"/>
          <w:ilvl w:val="2"/>
        </w:numPr>
      </w:pPr>
      <w:r>
        <w:t xml:space="preserve">With a level 3 sub-point</w:t>
      </w:r>
    </w:p>
    <w:p>
      <w:pPr>
        <w:pStyle w:val="Compact"/>
        <w:numPr>
          <w:numId w:val="1017"/>
          <w:ilvl w:val="3"/>
        </w:numPr>
      </w:pPr>
      <w:r>
        <w:t xml:space="preserve">With a level 4 sub-point</w:t>
      </w:r>
    </w:p>
    <w:p>
      <w:pPr>
        <w:pStyle w:val="Compact"/>
        <w:numPr>
          <w:numId w:val="1014"/>
          <w:ilvl w:val="0"/>
        </w:numPr>
      </w:pPr>
      <w:r>
        <w:t xml:space="preserve">Or I can control the marker</w:t>
      </w:r>
    </w:p>
    <w:p>
      <w:pPr>
        <w:pStyle w:val="Compact"/>
        <w:numPr>
          <w:numId w:val="1018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</w:t>
      </w:r>
    </w:p>
    <w:p>
      <w:pPr>
        <w:pStyle w:val="DefinitionTerm"/>
      </w:pPr>
      <w:r>
        <w:t xml:space="preserve"> </w:t>
      </w:r>
      <w:r>
        <w:t xml:space="preserve">second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</w:t>
      </w:r>
    </w:p>
    <w:p>
      <w:pPr>
        <w:pStyle w:val="DefinitionTerm"/>
      </w:pPr>
      <w:r>
        <w:t xml:space="preserve"> </w:t>
      </w:r>
    </w:p>
    <w:p>
      <w:pPr>
        <w:pStyle w:val="Compact"/>
        <w:pStyle w:val="Definition"/>
      </w:pPr>
      <w:r>
        <w:t xml:space="preserve">But it is optional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bookmarkStart w:id="21" w:name="x1-26r1"/>
      <w:bookmarkEnd w:id="21"/>
      <w:r>
        <w:rPr>
          <w:rStyle w:val="Theorem"/>
        </w:rPr>
        <w:t xml:space="preserve"> </w:t>
      </w:r>
      <w:r>
        <w:rPr>
          <w:rStyle w:val="Theorem"/>
        </w:rPr>
        <w:t xml:space="preserve">Theorem 0.1</w:t>
      </w:r>
      <w:r>
        <w:rPr>
          <w:rStyle w:val="Theorem"/>
        </w:rPr>
        <w:t xml:space="preserve"> </w:t>
      </w:r>
      <w:r>
        <w:rPr>
          <w:rStyle w:val="Theorem"/>
        </w:rPr>
        <w:t xml:space="preserve">(Title of the theorem)</w:t>
      </w:r>
      <w:r>
        <w:rPr>
          <w:rStyle w:val="Theorem"/>
        </w:rPr>
        <w:t xml:space="preserve">.</w:t>
      </w:r>
      <w:r>
        <w:br w:type="textWrapping"/>
      </w:r>
      <w:r>
        <w:t xml:space="preserve">This is a theorem that has been produced</w:t>
      </w:r>
      <w:r>
        <w:t xml:space="preserve"> </w:t>
      </w:r>
      <w:r>
        <w:t xml:space="preserve">without the AMS theorem environment or package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  <w:bookmarkStart w:id="22" w:name="x1-271"/>
      <w:bookmarkEnd w:id="22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3" w:name="x1-1doc"/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dinsert</w:t>
            </w:r>
          </w:p>
        </w:tc>
        <w:tc>
          <w:p>
            <w:pPr>
              <w:jc w:val="left"/>
            </w:pPr>
            <w:r>
              <w:t xml:space="preserve">abcde</w:t>
            </w:r>
          </w:p>
        </w:tc>
      </w:tr>
      <w:tr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e</m:t>
                  </m:r>
                </m:den>
              </m:f>
            </m:oMath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e</m:t>
                  </m:r>
                </m:den>
              </m:f>
            </m:oMath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c</m:t>
                  </m:r>
                </m:num>
                <m:den>
                  <m:r>
                    <m:t>e</m:t>
                  </m:r>
                </m:den>
              </m:f>
            </m:oMath>
          </w:p>
        </w:tc>
        <w:tc>
          <w:p>
            <w:pPr>
              <w:pStyle w:val="Compact"/>
              <w:jc w:val="right"/>
            </w:pPr>
            <m:oMath>
              <m:f>
                <m:fPr>
                  <m:type m:val="bar"/>
                </m:fPr>
                <m:num>
                  <m:r>
                    <m:t>d</m:t>
                  </m:r>
                </m:num>
                <m:den>
                  <m:r>
                    <m:t>e</m:t>
                  </m:r>
                </m:den>
              </m:f>
            </m:oMath>
            <w:r>
              <w:t xml:space="preserve">insert</w:t>
            </w:r>
          </w:p>
        </w:tc>
        <w:tc>
          <w:p>
            <w:pPr>
              <w:jc w:val="left"/>
            </w:pPr>
            <m:oMath>
              <m:r>
                <m:t>α</m:t>
              </m:r>
              <m:r>
                <m:t>β</m:t>
              </m:r>
              <m:r>
                <m:t>γ</m:t>
              </m:r>
              <m:r>
                <m:t>δ</m:t>
              </m:r>
              <m:r>
                <m:t>ϵ</m:t>
              </m:r>
            </m:oMath>
          </w:p>
        </w:tc>
      </w:tr>
    </w:tbl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1doc"/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  <w:bookmarkStart w:id="24" w:name="x1-28r2"/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Third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</w:tbl>
    <w:bookmarkStart w:id="25" w:name="verbatim-1"/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bookmarkEnd w:id="25"/>
    <w:p>
      <w:pPr>
        <w:pStyle w:val="BodyText"/>
      </w:pPr>
      <w:r>
        <w:t xml:space="preserve">This next</w:t>
      </w:r>
      <w:r>
        <w:t xml:space="preserve"> </w:t>
      </w:r>
      <w:r>
        <w:t xml:space="preserve">verbatim</w:t>
      </w:r>
      <w:r>
        <w:t xml:space="preserve"> </w:t>
      </w:r>
      <w:r>
        <w:t xml:space="preserve">but with spaces</w:t>
      </w:r>
      <w:r>
        <w:t xml:space="preserve"> </w:t>
      </w:r>
      <w:r>
        <w:t xml:space="preserve">shown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bookmarkStart w:id="26" w:name="x1-29f1"/>
      <w:bookmarkEnd w:id="26"/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27" w:name="references"/>
      <w:hyperlink w:anchor="x1-1000">
        <w:r>
          <w:rPr>
            <w:rStyle w:val="Hyperlink"/>
          </w:rPr>
          <w:t xml:space="preserve">References</w:t>
        </w:r>
      </w:hyperlink>
      <w:bookmarkEnd w:id="27"/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bookmarkStart w:id="28" w:name="XKopkaDaly"/>
      <w:bookmarkEnd w:id="28"/>
      <w:r>
        <w:t xml:space="preserve">Kopka, H. and Daly, P.,</w:t>
      </w:r>
      <w:r>
        <w:t xml:space="preserve"> </w:t>
      </w:r>
      <w:r>
        <w:rPr>
          <w:b/>
        </w:rPr>
        <w:t xml:space="preserve">A Guide to LaTeX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structures</dc:title>
  <dc:creator/>
  <cp:keywords/>
  <dcterms:created xsi:type="dcterms:W3CDTF">2020-05-29T12:51:38Z</dcterms:created>
  <dcterms:modified xsi:type="dcterms:W3CDTF">2020-05-29T12:51:38Z</dcterms:modified>
</cp:coreProperties>
</file>