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  <Override PartName="/word/media/rId22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graphics</w:t>
      </w:r>
    </w:p>
    <w:p>
      <w:pPr>
        <w:pStyle w:val="Heading2"/>
      </w:pPr>
      <w:bookmarkStart w:id="20" w:name="basic-graphics"/>
      <w:r>
        <w:t xml:space="preserve">Basic graphics</w:t>
      </w:r>
      <w:bookmarkEnd w:id="20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This section looks only at graphics available without the graphics packages, that is, internal to</w:t>
      </w:r>
      <w:r>
        <w:t xml:space="preserve"> </w:t>
      </w:r>
      <w:r>
        <w:t xml:space="preserve">vanilla LaTeX. Kopka and Daly</w:t>
      </w:r>
      <w:r>
        <w:t xml:space="preserve"> </w:t>
      </w:r>
      <w:r>
        <w:t xml:space="preserve">[</w:t>
      </w:r>
      <w:hyperlink w:anchor="XKopkaDaly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explain that “Standard LaTeXdoes actually contain the</w:t>
      </w:r>
      <w:r>
        <w:t xml:space="preserve"> </w:t>
      </w:r>
      <w:r>
        <w:t xml:space="preserve">means to make primative drawings on its own” and they consider only the facets of picture</w:t>
      </w:r>
      <w:r>
        <w:t xml:space="preserve"> </w:t>
      </w:r>
      <w:r>
        <w:t xml:space="preserve">that are in standard LaTeX, not those that require additional packages. This is what we test</w:t>
      </w:r>
      <w:r>
        <w:t xml:space="preserve"> </w:t>
      </w:r>
      <w:r>
        <w:t xml:space="preserve">as a basic starting point in the vanilla stress test.</w:t>
      </w:r>
    </w:p>
    <w:p>
      <w:pPr>
        <w:pStyle w:val="BodyText"/>
      </w:pPr>
      <w:r>
        <w:drawing>
          <wp:inline>
            <wp:extent cx="4076700" cy="1295400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input-word0x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1295400"/>
            <wp:effectExtent b="0" l="0" r="0" t="0"/>
            <wp:docPr descr="PICT" title="" id="1" name="Picture"/>
            <a:graphic>
              <a:graphicData uri="http://schemas.openxmlformats.org/drawingml/2006/picture">
                <pic:pic>
                  <pic:nvPicPr>
                    <pic:cNvPr descr="input-word1x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references"/>
      <w:hyperlink w:anchor="x1-1000">
        <w:r>
          <w:rPr>
            <w:rStyle w:val="Hyperlink"/>
          </w:rPr>
          <w:t xml:space="preserve">References</w:t>
        </w:r>
      </w:hyperlink>
      <w:bookmarkEnd w:id="23"/>
    </w:p>
    <w:p>
      <w:pPr>
        <w:pStyle w:val="FirstParagraph"/>
      </w:pPr>
      <w:r>
        <w:t xml:space="preserve"> </w:t>
      </w:r>
      <w:r>
        <w:t xml:space="preserve">[1]</w:t>
      </w:r>
      <w:r>
        <w:t xml:space="preserve">   </w:t>
      </w:r>
      <w:bookmarkStart w:id="24" w:name="XKopkaDaly"/>
      <w:bookmarkEnd w:id="24"/>
      <w:r>
        <w:t xml:space="preserve">Kopka, H. and Daly, P.,</w:t>
      </w:r>
      <w:r>
        <w:t xml:space="preserve"> </w:t>
      </w:r>
      <w:r>
        <w:rPr>
          <w:b/>
        </w:rPr>
        <w:t xml:space="preserve">A Guide to LaTeX</w:t>
      </w:r>
      <w:r>
        <w:t xml:space="preserve">. Pearson Education Ltd., 1999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Relationship Type="http://schemas.openxmlformats.org/officeDocument/2006/relationships/image" Id="rId22" Target="media/rId22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graphics</dc:title>
  <dc:creator/>
  <cp:keywords/>
  <dcterms:created xsi:type="dcterms:W3CDTF">2020-05-29T13:00:26Z</dcterms:created>
  <dcterms:modified xsi:type="dcterms:W3CDTF">2020-05-29T13:00:26Z</dcterms:modified>
</cp:coreProperties>
</file>