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graphics</w:t>
      </w:r>
    </w:p>
    <w:p>
      <w:pPr>
        <w:pStyle w:val="Heading2"/>
      </w:pPr>
      <w:bookmarkStart w:id="21" w:name="basic-graphics"/>
      <w:r>
        <w:t xml:space="preserve">Basic graphics</w:t>
      </w:r>
      <w:bookmarkEnd w:id="21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076700" cy="1295400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input-word0x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1295400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input-word1x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references"/>
      <w:hyperlink w:anchor="x1-1000">
        <w:r>
          <w:rPr>
            <w:rStyle w:val="Hyperlink"/>
          </w:rPr>
          <w:t xml:space="preserve">References</w:t>
        </w:r>
      </w:hyperlink>
      <w:bookmarkEnd w:id="24"/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bookmarkStart w:id="25" w:name="XKopkaDaly"/>
      <w:bookmarkEnd w:id="25"/>
      <w:r>
        <w:t xml:space="preserve">Kopka, H. and Daly, P.,</w:t>
      </w:r>
      <w:r>
        <w:t xml:space="preserve"> </w:t>
      </w:r>
      <w:r>
        <w:rPr>
          <w:b/>
        </w:rPr>
        <w:t xml:space="preserve">A Guide to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t xml:space="preserve">. Pearson Education Ltd., 1999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23343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3" Target="media/rId23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graphics</dc:title>
  <dc:creator/>
  <cp:keywords/>
  <dcterms:created xsi:type="dcterms:W3CDTF">2018-07-20T19:03:56Z</dcterms:created>
  <dcterms:modified xsi:type="dcterms:W3CDTF">2018-07-20T19:03:56Z</dcterms:modified>
</cp:coreProperties>
</file>