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AMS</w:t>
      </w:r>
      <w:r>
        <w:t xml:space="preserve"> </w:t>
      </w:r>
      <w:r>
        <w:t xml:space="preserve">mathematical</w:t>
      </w:r>
      <w:r>
        <w:t xml:space="preserve"> </w:t>
      </w:r>
      <w:r>
        <w:t xml:space="preserve">structures</w:t>
      </w:r>
    </w:p>
    <w:p>
      <w:pPr>
        <w:pStyle w:val="Heading2"/>
      </w:pPr>
      <w:bookmarkStart w:id="20" w:name="ams-mathematical-structures"/>
      <w:r>
        <w:t xml:space="preserve">AMS mathematical structures</w:t>
      </w:r>
      <w:bookmarkEnd w:id="20"/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1" w:name="contents"/>
      <w:hyperlink w:anchor="x1-1000">
        <w:r>
          <w:rPr>
            <w:rStyle w:val="Hyperlink"/>
          </w:rPr>
          <w:t xml:space="preserve">Contents</w:t>
        </w:r>
      </w:hyperlink>
      <w:bookmarkEnd w:id="21"/>
    </w:p>
    <w:p>
      <w:pPr>
        <w:pStyle w:val="Compact"/>
      </w:pPr>
      <w:r>
        <w:t xml:space="preserve">1</w:t>
      </w:r>
      <w:r>
        <w:t xml:space="preserve"> </w:t>
      </w:r>
      <w:hyperlink w:anchor="x1-40001">
        <w:r>
          <w:rPr>
            <w:rStyle w:val="Hyperlink"/>
          </w:rPr>
          <w:t xml:space="preserve">Split</w:t>
        </w:r>
      </w:hyperlink>
      <w:r>
        <w:br w:type="textWrapping"/>
      </w:r>
      <w:r>
        <w:t xml:space="preserve">2</w:t>
      </w:r>
      <w:r>
        <w:t xml:space="preserve"> </w:t>
      </w:r>
      <w:hyperlink w:anchor="x1-50002">
        <w:r>
          <w:rPr>
            <w:rStyle w:val="Hyperlink"/>
          </w:rPr>
          <w:t xml:space="preserve">Gather</w:t>
        </w:r>
      </w:hyperlink>
      <w:r>
        <w:br w:type="textWrapping"/>
      </w:r>
      <w:r>
        <w:t xml:space="preserve">3</w:t>
      </w:r>
      <w:r>
        <w:t xml:space="preserve"> </w:t>
      </w:r>
      <w:hyperlink w:anchor="x1-60003">
        <w:r>
          <w:rPr>
            <w:rStyle w:val="Hyperlink"/>
          </w:rPr>
          <w:t xml:space="preserve">Align</w:t>
        </w:r>
      </w:hyperlink>
      <w:r>
        <w:br w:type="textWrapping"/>
      </w:r>
      <w:r>
        <w:t xml:space="preserve">4</w:t>
      </w:r>
      <w:r>
        <w:t xml:space="preserve"> </w:t>
      </w:r>
      <w:hyperlink w:anchor="x1-70004">
        <w:r>
          <w:rPr>
            <w:rStyle w:val="Hyperlink"/>
          </w:rPr>
          <w:t xml:space="preserve">Cases</w:t>
        </w:r>
      </w:hyperlink>
    </w:p>
    <w:p>
      <w:pPr>
        <w:pStyle w:val="Heading3"/>
      </w:pPr>
      <w:bookmarkStart w:id="22" w:name="list-of-figures"/>
      <w:hyperlink w:anchor="x1-2000">
        <w:r>
          <w:rPr>
            <w:rStyle w:val="Hyperlink"/>
          </w:rPr>
          <w:t xml:space="preserve">List of Figures</w:t>
        </w:r>
      </w:hyperlink>
      <w:bookmarkEnd w:id="22"/>
    </w:p>
    <w:p>
      <w:pPr>
        <w:pStyle w:val="Heading3"/>
      </w:pPr>
      <w:bookmarkStart w:id="23" w:name="list-of-tables"/>
      <w:hyperlink w:anchor="x1-3000">
        <w:r>
          <w:rPr>
            <w:rStyle w:val="Hyperlink"/>
          </w:rPr>
          <w:t xml:space="preserve">List of Tables</w:t>
        </w:r>
      </w:hyperlink>
      <w:bookmarkEnd w:id="23"/>
    </w:p>
    <w:p>
      <w:pPr>
        <w:pStyle w:val="FirstParagraph"/>
      </w:pPr>
      <w:r>
        <w:t xml:space="preserve">Fraction commands: display style in text style —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24" w:name="x1-3001r1"/>
            <w:bookmarkEnd w:id="24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n</m:t>
                          </m:r>
                        </m:e>
                      </m:mr>
                      <m:mr>
                        <m:e>
                          <m:r>
                            <m:t>k</m:t>
                          </m:r>
                        </m:e>
                      </m:mr>
                    </m:m>
                  </m:e>
                </m:d>
                <m:r>
                  <m:t> 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k</m:t>
                        </m:r>
                      </m:den>
                    </m:f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25" w:name="x1-3002r2"/>
            <w:bookmarkEnd w:id="25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 </m:t>
                </m:r>
                <m:r>
                  <m:t>a</m:t>
                </m:r>
                <m: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b</m:t>
                    </m:r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c</m:t>
                        </m:r>
                        <m: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d</m:t>
                            </m:r>
                            <m:r>
                              <m:t>+</m:t>
                            </m:r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1</m:t>
                                </m:r>
                              </m:num>
                              <m:den>
                                <m:r>
                                  <m:t>e</m:t>
                                </m:r>
                                <m:r>
                                  <m:t>+</m:t>
                                </m:r>
                                <m:f>
                                  <m:fPr>
                                    <m:type m:val="bar"/>
                                  </m:fPr>
                                  <m:num>
                                    <m:r>
                                      <m:t>1</m:t>
                                    </m:r>
                                  </m:num>
                                  <m:den>
                                    <m:r>
                                      <m:t>f</m:t>
                                    </m:r>
                                    <m:r>
                                      <m:t>+</m:t>
                                    </m:r>
                                    <m:f>
                                      <m:fPr>
                                        <m:type m:val="bar"/>
                                      </m:fPr>
                                      <m:num>
                                        <m: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t>g</m:t>
                                        </m:r>
                                        <m:r>
                                          <m:t>+</m:t>
                                        </m:r>
                                        <m:f>
                                          <m:fPr>
                                            <m:type m:val="bar"/>
                                          </m:fPr>
                                          <m:num>
                                            <m: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m:t>h</m:t>
                                            </m:r>
                                          </m:den>
                                        </m:f>
                                      </m:den>
                                    </m:f>
                                  </m:den>
                                </m:f>
                              </m:den>
                            </m:f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</w:tr>
    </w:tbl>
    <w:p>
      <w:pPr>
        <w:pStyle w:val="BodyText"/>
      </w:pPr>
      <w:r>
        <w:t xml:space="preserve">Matrices can be displayed in text</w:t>
      </w:r>
      <w:r>
        <w:t xml:space="preserve"> </w:t>
      </w:r>
      <m:oMath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</m:e>
                <m:e>
                  <m:r>
                    <m:t>b</m:t>
                  </m:r>
                </m:e>
                <m:e>
                  <m:r>
                    <m:t>c</m:t>
                  </m:r>
                </m:e>
              </m:mr>
              <m:mr>
                <m:e>
                  <m:r>
                    <m:t>d</m:t>
                  </m:r>
                </m:e>
                <m:e>
                  <m:r>
                    <m:t>e</m:t>
                  </m:r>
                </m:e>
                <m:e>
                  <m:r>
                    <m:t>f</m:t>
                  </m:r>
                </m:e>
              </m:mr>
            </m:m>
          </m:e>
        </m:d>
      </m:oMath>
      <w:r>
        <w:t xml:space="preserve"> </w:t>
      </w:r>
      <w:r>
        <w:t xml:space="preserve">or in display with 6 different commands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/>
              <m:e/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r</m:t>
                      </m:r>
                    </m:e>
                    <m:e>
                      <m:r>
                        <m:t>s</m:t>
                      </m:r>
                    </m:e>
                    <m:e>
                      <m:r>
                        <m:t>t</m:t>
                      </m:r>
                    </m:e>
                  </m:mr>
                  <m:mr>
                    <m:e>
                      <m:r>
                        <m:t>u</m:t>
                      </m:r>
                    </m:e>
                    <m:e>
                      <m:r>
                        <m:t>v</m:t>
                      </m:r>
                    </m:e>
                    <m:e>
                      <m:r>
                        <m:t>w</m:t>
                      </m:r>
                    </m:e>
                  </m:mr>
                  <m:mr>
                    <m:e>
                      <m:r>
                        <m:t>x</m:t>
                      </m:r>
                    </m:e>
                    <m:e>
                      <m:r>
                        <m:t>y</m:t>
                      </m:r>
                    </m:e>
                    <m:e>
                      <m:r>
                        <m:t>x</m:t>
                      </m:r>
                    </m:e>
                  </m:mr>
                </m:m>
                <m:r>
                  <m:t> </m:t>
                </m:r>
                <m:d>
                  <m:dPr>
                    <m:begChr m:val="("/>
                    <m:endChr m:val=")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r</m:t>
                          </m:r>
                        </m:e>
                        <m:e>
                          <m:r>
                            <m:t>s</m:t>
                          </m:r>
                        </m:e>
                        <m:e>
                          <m:r>
                            <m:t>t</m:t>
                          </m:r>
                        </m:e>
                      </m:mr>
                      <m:mr>
                        <m:e>
                          <m:r>
                            <m:t>u</m:t>
                          </m:r>
                        </m:e>
                        <m:e>
                          <m:r>
                            <m:t>v</m:t>
                          </m:r>
                        </m:e>
                        <m:e>
                          <m:r>
                            <m:t>w</m:t>
                          </m:r>
                        </m:e>
                      </m:mr>
                      <m:mr>
                        <m:e>
                          <m:r>
                            <m:t>x</m:t>
                          </m:r>
                        </m:e>
                        <m:e>
                          <m:r>
                            <m:t>y</m:t>
                          </m:r>
                        </m:e>
                        <m:e>
                          <m:r>
                            <m:t>x</m:t>
                          </m:r>
                        </m:e>
                      </m:mr>
                    </m:m>
                  </m:e>
                </m:d>
                <m:r>
                  <m:t> </m:t>
                </m:r>
                <m:d>
                  <m:dPr>
                    <m:begChr m:val="["/>
                    <m:endChr m:val="]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r</m:t>
                          </m:r>
                        </m:e>
                        <m:e>
                          <m:r>
                            <m:t>s</m:t>
                          </m:r>
                        </m:e>
                        <m:e>
                          <m:r>
                            <m:t>t</m:t>
                          </m:r>
                        </m:e>
                      </m:mr>
                      <m:mr>
                        <m:e>
                          <m:r>
                            <m:t>u</m:t>
                          </m:r>
                        </m:e>
                        <m:e>
                          <m:r>
                            <m:t>v</m:t>
                          </m:r>
                        </m:e>
                        <m:e>
                          <m:r>
                            <m:t>w</m:t>
                          </m:r>
                        </m:e>
                      </m:mr>
                      <m:mr>
                        <m:e>
                          <m:r>
                            <m:t>x</m:t>
                          </m:r>
                        </m:e>
                        <m:e>
                          <m:r>
                            <m:t>y</m:t>
                          </m:r>
                        </m:e>
                        <m:e>
                          <m:r>
                            <m:t>x</m:t>
                          </m:r>
                        </m:e>
                      </m:mr>
                    </m:m>
                  </m:e>
                </m:d>
              </m:e>
              <m:e/>
            </m:mr>
            <m:mr>
              <m:e/>
              <m:e/>
              <m:e>
                <m:d>
                  <m:dPr>
                    <m:begChr m:val="{"/>
                    <m:endChr m:val="}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r</m:t>
                          </m:r>
                        </m:e>
                        <m:e>
                          <m:r>
                            <m:t>s</m:t>
                          </m:r>
                        </m:e>
                        <m:e>
                          <m:r>
                            <m:t>t</m:t>
                          </m:r>
                        </m:e>
                      </m:mr>
                      <m:mr>
                        <m:e>
                          <m:r>
                            <m:t>u</m:t>
                          </m:r>
                        </m:e>
                        <m:e>
                          <m:r>
                            <m:t>v</m:t>
                          </m:r>
                        </m:e>
                        <m:e>
                          <m:r>
                            <m:t>w</m:t>
                          </m:r>
                        </m:e>
                      </m:mr>
                      <m:mr>
                        <m:e>
                          <m:r>
                            <m:t>x</m:t>
                          </m:r>
                        </m:e>
                        <m:e>
                          <m:r>
                            <m:t>y</m:t>
                          </m:r>
                        </m:e>
                        <m:e>
                          <m:r>
                            <m:t>x</m:t>
                          </m:r>
                        </m:e>
                      </m:mr>
                    </m:m>
                  </m:e>
                </m:d>
                <m:r>
                  <m:t> </m:t>
                </m:r>
                <m:d>
                  <m:dPr>
                    <m:begChr m:val="|"/>
                    <m:endChr m:val="|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r</m:t>
                          </m:r>
                        </m:e>
                        <m:e>
                          <m:r>
                            <m:t>s</m:t>
                          </m:r>
                        </m:e>
                        <m:e>
                          <m:r>
                            <m:t>t</m:t>
                          </m:r>
                        </m:e>
                      </m:mr>
                      <m:mr>
                        <m:e>
                          <m:r>
                            <m:t>u</m:t>
                          </m:r>
                        </m:e>
                        <m:e>
                          <m:r>
                            <m:t>v</m:t>
                          </m:r>
                        </m:e>
                        <m:e>
                          <m:r>
                            <m:t>w</m:t>
                          </m:r>
                        </m:e>
                      </m:mr>
                      <m:mr>
                        <m:e>
                          <m:r>
                            <m:t>x</m:t>
                          </m:r>
                        </m:e>
                        <m:e>
                          <m:r>
                            <m:t>y</m:t>
                          </m:r>
                        </m:e>
                        <m:e>
                          <m:r>
                            <m:t>x</m:t>
                          </m:r>
                        </m:e>
                      </m:mr>
                    </m:m>
                  </m:e>
                </m:d>
                <m:r>
                  <m:t> </m:t>
                </m:r>
                <m:d>
                  <m:dPr>
                    <m:begChr m:val="∥"/>
                    <m:endChr m:val="∥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r</m:t>
                          </m:r>
                        </m:e>
                        <m:e>
                          <m:r>
                            <m:t>s</m:t>
                          </m:r>
                        </m:e>
                        <m:e>
                          <m:r>
                            <m:t>t</m:t>
                          </m:r>
                        </m:e>
                      </m:mr>
                      <m:mr>
                        <m:e>
                          <m:r>
                            <m:t>u</m:t>
                          </m:r>
                        </m:e>
                        <m:e>
                          <m:r>
                            <m:t>v</m:t>
                          </m:r>
                        </m:e>
                        <m:e>
                          <m:r>
                            <m:t>w</m:t>
                          </m:r>
                        </m:e>
                      </m:mr>
                      <m:mr>
                        <m:e>
                          <m:r>
                            <m:t>x</m:t>
                          </m:r>
                        </m:e>
                        <m:e>
                          <m:r>
                            <m:t>y</m:t>
                          </m:r>
                        </m:e>
                        <m:e>
                          <m:r>
                            <m:t>x</m:t>
                          </m:r>
                        </m:e>
                      </m:mr>
                    </m:m>
                  </m:e>
                </m:d>
                <m:r>
                  <m:t> </m:t>
                </m:r>
              </m:e>
              <m:e/>
            </m:mr>
          </m:m>
        </m:oMath>
      </m:oMathPara>
    </w:p>
    <w:p>
      <w:pPr>
        <w:pStyle w:val="FirstParagraph"/>
      </w:pPr>
      <w:r>
        <w:t xml:space="preserve">Vertical bars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26" w:name="x1-3004r3"/>
            <w:bookmarkEnd w:id="26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∥"/>
                    <m:endChr m:val="∥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</w:tr>
    </w:tbl>
    <w:p>
      <w:pPr>
        <w:pStyle w:val="Heading3"/>
      </w:pPr>
      <w:bookmarkStart w:id="27" w:name="split"/>
      <w:r>
        <w:t xml:space="preserve">1</w:t>
      </w:r>
      <w:r>
        <w:t xml:space="preserve"> </w:t>
      </w:r>
      <w:r>
        <w:t xml:space="preserve"> </w:t>
      </w:r>
      <w:hyperlink w:anchor="QQ2-1-4">
        <w:r>
          <w:rPr>
            <w:rStyle w:val="Hyperlink"/>
          </w:rPr>
          <w:t xml:space="preserve">Split</w:t>
        </w:r>
      </w:hyperlink>
      <w:bookmarkEnd w:id="27"/>
    </w:p>
    <w:p>
      <w:pPr>
        <w:pStyle w:val="FirstParagraph"/>
      </w:pPr>
      <w:r>
        <w:t xml:space="preserve">Meant for single equations which do not fit on one line but allows alignment between lines.</w:t>
      </w:r>
      <w:r>
        <w:t xml:space="preserve"> </w:t>
      </w:r>
      <w:r>
        <w:t xml:space="preserve">Split is used when already in mathmode and any numbering from the external mode will</w:t>
      </w:r>
      <w:r>
        <w:t xml:space="preserve"> </w:t>
      </w:r>
      <w:r>
        <w:t xml:space="preserve">apply to the entire split as one line.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28" w:name="x1-4001r4"/>
            <w:bookmarkEnd w:id="28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m>
                        <m:mPr>
                          <m:baseJc m:val="center"/>
                          <m:plcHide m:val="1"/>
                          <m:mcs>
                            <m:mc>
                              <m:mcPr>
                                <m:mcJc m:val="center"/>
                                <m:count m:val="1"/>
                              </m:mcPr>
                            </m:mc>
                            <m:mc>
                              <m:mcPr>
                                <m:mcJc m:val="center"/>
                                <m:count m:val="1"/>
                              </m:mcPr>
                            </m:mc>
                          </m:mcs>
                        </m:mP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subHide m:val="0"/>
                                <m:supHide m:val="0"/>
                              </m:naryPr>
                              <m:sub>
                                <m:r>
                                  <m:t>i</m:t>
                                </m:r>
                                <m:r>
                                  <m:t>=</m:t>
                                </m:r>
                                <m:r>
                                  <m:t>1</m:t>
                                </m:r>
                              </m:sub>
                              <m:sup>
                                <m:r>
                                  <m:t>15</m:t>
                                </m:r>
                              </m:sup>
                              <m:e>
                                <m:sSubSup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  <m:sup>
                                    <m: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  <m:r>
                              <m:t>=</m:t>
                            </m:r>
                          </m:e>
                          <m:e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3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4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5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e>
                        </m:mr>
                        <m:mr>
                          <m:e/>
                          <m:e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6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7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8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9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10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11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12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13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14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15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e>
                        </m:mr>
                      </m:m>
                    </m:e>
                    <m:e/>
                  </m:mr>
                </m:m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</w:tr>
    </w:tbl>
    <w:p>
      <w:pPr>
        <w:pStyle w:val="Heading3"/>
      </w:pPr>
      <w:bookmarkStart w:id="29" w:name="gather"/>
      <w:r>
        <w:t xml:space="preserve">2</w:t>
      </w:r>
      <w:r>
        <w:t xml:space="preserve"> </w:t>
      </w:r>
      <w:r>
        <w:t xml:space="preserve"> </w:t>
      </w:r>
      <w:hyperlink w:anchor="QQ2-1-5">
        <w:r>
          <w:rPr>
            <w:rStyle w:val="Hyperlink"/>
          </w:rPr>
          <w:t xml:space="preserve">Gather</w:t>
        </w:r>
      </w:hyperlink>
      <w:bookmarkEnd w:id="29"/>
    </w:p>
    <w:p>
      <w:pPr>
        <w:pStyle w:val="FirstParagraph"/>
      </w:pPr>
      <w:r>
        <w:t xml:space="preserve">Switches to mathmode and centers each line without alignment.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15</m:t>
                    </m:r>
                  </m:sup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  <m: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13</m:t>
                    </m:r>
                  </m:sup>
                </m:sSup>
                <m: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14</m:t>
                    </m:r>
                  </m:sup>
                </m:sSup>
                <m: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15</m:t>
                    </m:r>
                  </m:sup>
                </m:sSup>
              </m:e>
              <m:e>
                <m:r>
                  <m:rPr>
                    <m:sty m:val="p"/>
                  </m:rPr>
                  <m:t>(5)</m:t>
                </m:r>
              </m:e>
            </m:mr>
            <m:mr>
              <m:e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15</m:t>
                    </m:r>
                  </m:sup>
                </m:sSup>
              </m:e>
              <m:e/>
            </m:mr>
          </m:m>
        </m:oMath>
      </m:oMathPara>
    </w:p>
    <w:p>
      <w:pPr>
        <w:pStyle w:val="Heading3"/>
      </w:pPr>
      <w:bookmarkStart w:id="30" w:name="align"/>
      <w:r>
        <w:t xml:space="preserve">3</w:t>
      </w:r>
      <w:r>
        <w:t xml:space="preserve"> </w:t>
      </w:r>
      <w:r>
        <w:t xml:space="preserve"> </w:t>
      </w:r>
      <w:hyperlink w:anchor="QQ2-1-6">
        <w:r>
          <w:rPr>
            <w:rStyle w:val="Hyperlink"/>
          </w:rPr>
          <w:t xml:space="preserve">Align</w:t>
        </w:r>
      </w:hyperlink>
      <w:bookmarkEnd w:id="30"/>
    </w:p>
    <w:p>
      <w:pPr>
        <w:pStyle w:val="FirstParagraph"/>
      </w:pPr>
      <w:r>
        <w:t xml:space="preserve">Because of the problems with MathJax and eqnarray (unstarred) and because so many</w:t>
      </w:r>
      <w:r>
        <w:t xml:space="preserve"> </w:t>
      </w:r>
      <w:r>
        <w:t xml:space="preserve">people use the align environment I think that we should say, yes, it is available for “basic” use</w:t>
      </w:r>
      <w:r>
        <w:t xml:space="preserve"> </w:t>
      </w:r>
      <w:r>
        <w:t xml:space="preserve">(i.e. equivalent use to eqnarray effectively) and that any use beyond that is the</w:t>
      </w:r>
      <w:r>
        <w:t xml:space="preserve"> </w:t>
      </w:r>
      <w:r>
        <w:t xml:space="preserve">unknown.</w:t>
      </w:r>
    </w:p>
    <w:p>
      <w:pPr>
        <w:pStyle w:val="BodyText"/>
      </w:pPr>
      <w:r>
        <w:t xml:space="preserve">For use with multiple equations with horizontal alignment (usually on the equals sign or</w:t>
      </w:r>
      <w:r>
        <w:t xml:space="preserve"> </w:t>
      </w:r>
      <w:r>
        <w:t xml:space="preserve">equivalent). Each line is split into aligned columns with the odd numbered columns being</w:t>
      </w:r>
      <w:r>
        <w:t xml:space="preserve"> </w:t>
      </w:r>
      <w:r>
        <w:t xml:space="preserve">right justified and the even numbered left justified {rl rl rl...}. There is an unnumbered variant</w:t>
      </w:r>
      <w:r>
        <w:t xml:space="preserve"> </w:t>
      </w:r>
      <w:r>
        <w:t xml:space="preserve">(use *).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  <m:r>
                  <m:t>  </m:t>
                </m:r>
              </m:e>
              <m:e>
                <m:r>
                  <m:rPr>
                    <m:sty m:val="p"/>
                  </m:rPr>
                  <m:t>(6)</m:t>
                </m:r>
              </m:e>
              <m:e/>
            </m:mr>
            <m:mr>
              <m:e/>
              <m:e>
                <m:r>
                  <m:t> </m:t>
                </m:r>
                <m:r>
                  <m:rPr>
                    <m:sty m:val="p"/>
                  </m:rPr>
                  <m:t>some calculator use later:</m:t>
                </m:r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/>
              <m:e>
                <m:r>
                  <m:t>=</m:t>
                </m:r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/>
              <m:e>
                <m:r>
                  <m:t>=</m:t>
                </m:r>
                <m:r>
                  <m:t>16382</m:t>
                </m:r>
                <m:r>
                  <m:t>  </m:t>
                </m:r>
                <m:r>
                  <m:rPr>
                    <m:sty m:val="p"/>
                  </m:rPr>
                  <m:t>text in formulas does not break</m:t>
                </m:r>
                <m:r>
                  <m:t>  </m:t>
                </m:r>
              </m:e>
              <m:e>
                <m:r>
                  <m:rPr>
                    <m:sty m:val="p"/>
                  </m:rPr>
                  <m:t>(7)</m:t>
                </m:r>
              </m:e>
              <m:e/>
            </m:mr>
          </m:m>
        </m:oMath>
      </m:oMathPara>
    </w:p>
    <w:p>
      <w:pPr>
        <w:pStyle w:val="Heading3"/>
      </w:pPr>
      <w:bookmarkStart w:id="31" w:name="cases"/>
      <w:r>
        <w:t xml:space="preserve">4</w:t>
      </w:r>
      <w:r>
        <w:t xml:space="preserve"> </w:t>
      </w:r>
      <w:r>
        <w:t xml:space="preserve"> </w:t>
      </w:r>
      <w:hyperlink w:anchor="QQ2-1-7">
        <w:r>
          <w:rPr>
            <w:rStyle w:val="Hyperlink"/>
          </w:rPr>
          <w:t xml:space="preserve">Cases</w:t>
        </w:r>
      </w:hyperlink>
      <w:bookmarkEnd w:id="31"/>
    </w:p>
    <w:p>
      <w:pPr>
        <w:pStyle w:val="FirstParagraph"/>
      </w:pPr>
      <w:r>
        <w:t xml:space="preserve">Easier way to produce equations with cases. Used when already in mathmode.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x</m:t>
                    </m:r>
                  </m:e>
                </m:d>
                <m:r>
                  <m:t>=</m:t>
                </m:r>
                <m:d>
                  <m:dPr>
                    <m:begChr m:val="{"/>
                    <m:end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p>
                            <m:e>
                              <m:r>
                                <m:t>x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t> 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 if </m:t>
                          </m:r>
                          <m:r>
                            <m:t>x</m:t>
                          </m:r>
                          <m:r>
                            <m:t>≥</m:t>
                          </m:r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−</m:t>
                          </m:r>
                          <m:r>
                            <m:t>x</m:t>
                          </m:r>
                          <m:r>
                            <m:t> 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 if </m:t>
                          </m:r>
                          <m:r>
                            <m:t>x</m:t>
                          </m:r>
                          <m:r>
                            <m:t>&lt;</m:t>
                          </m:r>
                          <m: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We can reference the equations: (</w:t>
      </w:r>
      <w:hyperlink w:anchor="x1-4001r4">
        <w:r>
          <w:rPr>
            <w:rStyle w:val="Hyperlink"/>
          </w:rPr>
          <w:t xml:space="preserve">4</w:t>
        </w:r>
      </w:hyperlink>
      <w:r>
        <w:t xml:space="preserve">), (</w:t>
      </w:r>
      <w:hyperlink w:anchor="x1-5001r5">
        <w:r>
          <w:rPr>
            <w:rStyle w:val="Hyperlink"/>
          </w:rPr>
          <w:t xml:space="preserve">5</w:t>
        </w:r>
      </w:hyperlink>
      <w:r>
        <w:t xml:space="preserve">), (</w:t>
      </w:r>
      <w:hyperlink w:anchor="x1-6001r6">
        <w:r>
          <w:rPr>
            <w:rStyle w:val="Hyperlink"/>
          </w:rPr>
          <w:t xml:space="preserve">6</w:t>
        </w:r>
      </w:hyperlink>
      <w:r>
        <w:t xml:space="preserve">).</w:t>
      </w:r>
    </w:p>
    <w:sectPr w:rsidR="001C5290" w:rsidRPr="001C529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AMS mathematical structures</dc:title>
  <dc:creator/>
  <cp:keywords/>
  <dcterms:created xsi:type="dcterms:W3CDTF">2020-07-22T16:39:15Z</dcterms:created>
  <dcterms:modified xsi:type="dcterms:W3CDTF">2020-07-22T16:39:15Z</dcterms:modified>
</cp:coreProperties>
</file>