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</w:t>
      </w:r>
      <w:r>
        <w:t xml:space="preserve"> </w:t>
      </w:r>
      <w:r>
        <w:t xml:space="preserve">theorems</w:t>
      </w:r>
      <w:r>
        <w:t xml:space="preserve"> </w:t>
      </w:r>
      <w:r>
        <w:t xml:space="preserve">and</w:t>
      </w:r>
      <w:r>
        <w:t xml:space="preserve"> </w:t>
      </w:r>
      <w:r>
        <w:t xml:space="preserve">newenvironment</w:t>
      </w:r>
    </w:p>
    <w:p>
      <w:pPr>
        <w:pStyle w:val="Heading2"/>
      </w:pPr>
      <w:bookmarkStart w:id="20" w:name="ams-theorems-and-newenvironment"/>
      <w:r>
        <w:t xml:space="preserve">AMS theorems and newenvironment</w:t>
      </w:r>
      <w:bookmarkEnd w:id="20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1" w:name="contents"/>
      <w:hyperlink w:anchor="x1-1000">
        <w:r>
          <w:rPr>
            <w:rStyle w:val="Hyperlink"/>
          </w:rPr>
          <w:t xml:space="preserve">Contents</w:t>
        </w:r>
      </w:hyperlink>
      <w:bookmarkEnd w:id="21"/>
    </w:p>
    <w:p>
      <w:pPr>
        <w:pStyle w:val="Compact"/>
      </w:pPr>
      <w:r>
        <w:t xml:space="preserve">1</w:t>
      </w:r>
      <w:r>
        <w:t xml:space="preserve"> </w:t>
      </w:r>
      <w:hyperlink w:anchor="x1-40001">
        <w:r>
          <w:rPr>
            <w:rStyle w:val="Hyperlink"/>
          </w:rPr>
          <w:t xml:space="preserve">Some theorem and a new environment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50001.1">
        <w:r>
          <w:rPr>
            <w:rStyle w:val="Hyperlink"/>
          </w:rPr>
          <w:t xml:space="preserve">Built-in and self-defined proof environments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Second section for numbering demo</w:t>
        </w:r>
      </w:hyperlink>
    </w:p>
    <w:p>
      <w:pPr>
        <w:pStyle w:val="Heading3"/>
      </w:pPr>
      <w:bookmarkStart w:id="22" w:name="list-of-figures"/>
      <w:hyperlink w:anchor="x1-2000">
        <w:r>
          <w:rPr>
            <w:rStyle w:val="Hyperlink"/>
          </w:rPr>
          <w:t xml:space="preserve">List of Figures</w:t>
        </w:r>
      </w:hyperlink>
      <w:bookmarkEnd w:id="22"/>
    </w:p>
    <w:p>
      <w:pPr>
        <w:pStyle w:val="Heading3"/>
      </w:pPr>
      <w:bookmarkStart w:id="23" w:name="list-of-tables"/>
      <w:hyperlink w:anchor="x1-3000">
        <w:r>
          <w:rPr>
            <w:rStyle w:val="Hyperlink"/>
          </w:rPr>
          <w:t xml:space="preserve">List of Tables</w:t>
        </w:r>
      </w:hyperlink>
      <w:bookmarkEnd w:id="23"/>
    </w:p>
    <w:p>
      <w:pPr>
        <w:pStyle w:val="Heading3"/>
      </w:pPr>
      <w:bookmarkStart w:id="24" w:name="some-theorem-and-a-new-environment"/>
      <w:r>
        <w:t xml:space="preserve">1</w:t>
      </w:r>
      <w:r>
        <w:t xml:space="preserve"> </w:t>
      </w:r>
      <w:r>
        <w:t xml:space="preserve"> </w:t>
      </w:r>
      <w:hyperlink w:anchor="QQ2-1-4">
        <w:r>
          <w:rPr>
            <w:rStyle w:val="Hyperlink"/>
          </w:rPr>
          <w:t xml:space="preserve">Some theorem and a new environment</w:t>
        </w:r>
      </w:hyperlink>
      <w:bookmarkEnd w:id="24"/>
    </w:p>
    <w:p>
      <w:pPr>
        <w:pStyle w:val="FirstParagraph"/>
      </w:pPr>
      <w:r>
        <w:rPr>
          <w:rStyle w:val="Theorem"/>
        </w:rPr>
        <w:t xml:space="preserve"> </w:t>
      </w:r>
      <w:bookmarkStart w:id="25" w:name="x1-4001r1"/>
      <w:bookmarkEnd w:id="25"/>
      <w:r>
        <w:rPr>
          <w:rStyle w:val="Theorem"/>
        </w:rPr>
        <w:t xml:space="preserve"> </w:t>
      </w:r>
      <w:r>
        <w:rPr>
          <w:rStyle w:val="Theorem"/>
        </w:rPr>
        <w:t xml:space="preserve">Theorem 1.1.</w:t>
      </w:r>
      <w:r>
        <w:br w:type="textWrapping"/>
      </w:r>
      <w:r>
        <w:t xml:space="preserve">This is a numbered theorem (within the section) in the standard style</w:t>
      </w:r>
      <w:r>
        <w:t xml:space="preserve"> </w:t>
      </w:r>
      <w:r>
        <w:t xml:space="preserve">and hence this text is in italics.</w:t>
      </w:r>
    </w:p>
    <w:p>
      <w:pPr>
        <w:pStyle w:val="BodyText"/>
      </w:pPr>
      <w:r>
        <w:rPr>
          <w:rStyle w:val="Theorem"/>
        </w:rPr>
        <w:t xml:space="preserve"> </w:t>
      </w:r>
      <w:bookmarkStart w:id="26" w:name="x1-4002r2"/>
      <w:bookmarkEnd w:id="26"/>
      <w:r>
        <w:rPr>
          <w:rStyle w:val="Theorem"/>
        </w:rPr>
        <w:t xml:space="preserve"> </w:t>
      </w:r>
      <w:r>
        <w:rPr>
          <w:rStyle w:val="Theorem"/>
        </w:rPr>
        <w:t xml:space="preserve">Corollary 1.2.</w:t>
      </w:r>
      <w:r>
        <w:br w:type="textWrapping"/>
      </w:r>
      <w:r>
        <w:t xml:space="preserve">This is a numbered corollary (numbered with theorems) also in the</w:t>
      </w:r>
      <w:r>
        <w:t xml:space="preserve"> </w:t>
      </w:r>
      <w:r>
        <w:t xml:space="preserve">standard style.</w:t>
      </w:r>
    </w:p>
    <w:p>
      <w:pPr>
        <w:pStyle w:val="Heading4"/>
      </w:pPr>
      <w:bookmarkStart w:id="27" w:name="built-in-and-self-defined-proof-environments"/>
      <w:r>
        <w:t xml:space="preserve">1.1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Built-in and self-defined proof environments</w:t>
        </w:r>
      </w:hyperlink>
      <w:bookmarkEnd w:id="27"/>
    </w:p>
    <w:p>
      <w:pPr>
        <w:pStyle w:val="FirstParagraph"/>
      </w:pPr>
      <w:r>
        <w:t xml:space="preserve"> </w:t>
      </w:r>
      <w:r>
        <w:t xml:space="preserve">Proof.</w:t>
      </w:r>
      <w:r>
        <w:t xml:space="preserve"> </w:t>
      </w:r>
      <w:r>
        <w:t xml:space="preserve"> </w:t>
      </w:r>
      <w:r>
        <w:t xml:space="preserve">This is the built-in proof environment. □</w:t>
      </w:r>
    </w:p>
    <w:p>
      <w:pPr>
        <w:pStyle w:val="BodyText"/>
      </w:pPr>
      <w:r>
        <w:t xml:space="preserve">Proof.</w:t>
      </w:r>
      <w:r>
        <w:t xml:space="preserve">  This a self-made proof environment. □</w:t>
      </w:r>
    </w:p>
    <w:p>
      <w:pPr>
        <w:pStyle w:val="BodyText"/>
      </w:pPr>
      <w:r>
        <w:rPr>
          <w:rStyle w:val="Theorem"/>
        </w:rPr>
        <w:t xml:space="preserve"> </w:t>
      </w:r>
      <w:bookmarkStart w:id="28" w:name="x1-5001r1"/>
      <w:bookmarkEnd w:id="28"/>
      <w:r>
        <w:rPr>
          <w:rStyle w:val="Theorem"/>
        </w:rPr>
        <w:t xml:space="preserve"> </w:t>
      </w:r>
      <w:r>
        <w:rPr>
          <w:rStyle w:val="Theorem"/>
        </w:rPr>
        <w:t xml:space="preserve">Definition 1.1.</w:t>
      </w:r>
      <w:r>
        <w:br w:type="textWrapping"/>
      </w:r>
      <w:r>
        <w:t xml:space="preserve">This is a numbered definition (numbered within section but not with</w:t>
      </w:r>
      <w:r>
        <w:t xml:space="preserve"> </w:t>
      </w:r>
      <w:r>
        <w:t xml:space="preserve">theorems) and in the “definition” style. The title and number should be bold but the rest</w:t>
      </w:r>
      <w:r>
        <w:t xml:space="preserve"> </w:t>
      </w:r>
      <w:r>
        <w:t xml:space="preserve">of the text should be normal font.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Note.</w:t>
      </w:r>
      <w:r>
        <w:br w:type="textWrapping"/>
      </w:r>
      <w:r>
        <w:t xml:space="preserve">This is an unnumbered note and is in the “remark” style.</w:t>
      </w:r>
    </w:p>
    <w:p>
      <w:pPr>
        <w:pStyle w:val="Heading3"/>
      </w:pPr>
      <w:bookmarkStart w:id="29" w:name="second-section-for-numbering-demo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Second section for numbering demo</w:t>
        </w:r>
      </w:hyperlink>
      <w:bookmarkEnd w:id="29"/>
    </w:p>
    <w:p>
      <w:pPr>
        <w:pStyle w:val="FirstParagraph"/>
      </w:pPr>
      <w:r>
        <w:rPr>
          <w:rStyle w:val="Theorem"/>
        </w:rPr>
        <w:t xml:space="preserve"> </w:t>
      </w:r>
      <w:bookmarkStart w:id="30" w:name="x1-6001r1"/>
      <w:bookmarkEnd w:id="30"/>
      <w:r>
        <w:rPr>
          <w:rStyle w:val="Theorem"/>
        </w:rPr>
        <w:t xml:space="preserve"> </w:t>
      </w:r>
      <w:r>
        <w:rPr>
          <w:rStyle w:val="Theorem"/>
        </w:rPr>
        <w:t xml:space="preserve">Theorem 2.1.</w:t>
      </w:r>
      <w:r>
        <w:br w:type="textWrapping"/>
      </w:r>
      <w:r>
        <w:t xml:space="preserve">And so we see that the numbering works out as expected.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theorems and newenvironment</dc:title>
  <dc:creator/>
  <cp:keywords/>
  <dcterms:created xsi:type="dcterms:W3CDTF">2020-07-22T16:44:03Z</dcterms:created>
  <dcterms:modified xsi:type="dcterms:W3CDTF">2020-07-22T16:44:03Z</dcterms:modified>
</cp:coreProperties>
</file>