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1">
        <w:r>
          <w:rPr>
            <w:rStyle w:val="Hyperlink"/>
          </w:rPr>
          <w:t xml:space="preserve">mash-access@bath.ac.uk</w:t>
        </w:r>
      </w:hyperlink>
      <w:r>
        <w:t xml:space="preserve"> </w:t>
      </w:r>
      <w:r>
        <w:t xml:space="preserve">but you should use the Team set up by the Centre for Learning and Teaching for support in the first instance.</w:t>
      </w:r>
    </w:p>
    <w:p>
      <w:pPr>
        <w:pStyle w:val="TextBody"/>
      </w:pPr>
      <w:r>
        <w:t xml:space="preserve">This document is</w:t>
      </w:r>
      <w:r>
        <w:t xml:space="preserve"> </w:t>
      </w:r>
      <w:r>
        <w:rPr>
          <w:b/>
        </w:rPr>
        <w:t xml:space="preserve">also</w:t>
      </w:r>
      <w:r>
        <w:t xml:space="preserve"> </w:t>
      </w:r>
      <w:r>
        <w:t xml:space="preserve">a work in progress. Like everything right now!</w:t>
      </w:r>
    </w:p>
    <w:p>
      <w:pPr>
        <w:pStyle w:val="Heading1"/>
      </w:pPr>
      <w:bookmarkStart w:id="22" w:name="what-formats-do-i-need-to-produce-and-why"/>
      <w:r>
        <w:t xml:space="preserve">What formats do I need to produce and why?</w:t>
      </w:r>
      <w:bookmarkEnd w:id="22"/>
    </w:p>
    <w:p>
      <w:pPr>
        <w:pStyle w:val="FirstParagraph"/>
      </w:pPr>
      <w:r>
        <w:t xml:space="preserve">ClavertonDown can produce:</w:t>
      </w:r>
    </w:p>
    <w:p>
      <w:pPr>
        <w:pStyle w:val="Compact"/>
        <w:numPr>
          <w:numId w:val="1001"/>
          <w:ilvl w:val="0"/>
        </w:numPr>
      </w:pPr>
      <w:r>
        <w:t xml:space="preserve">HTML book</w:t>
      </w:r>
    </w:p>
    <w:p>
      <w:pPr>
        <w:pStyle w:val="Compact"/>
        <w:numPr>
          <w:numId w:val="1001"/>
          <w:ilvl w:val="0"/>
        </w:numPr>
      </w:pPr>
      <w:r>
        <w:t xml:space="preserve">HTML page</w:t>
      </w:r>
    </w:p>
    <w:p>
      <w:pPr>
        <w:pStyle w:val="Compact"/>
        <w:numPr>
          <w:numId w:val="1001"/>
          <w:ilvl w:val="0"/>
        </w:numPr>
      </w:pPr>
      <w:r>
        <w:t xml:space="preserve">Standard, clear and large print PDF</w:t>
      </w:r>
    </w:p>
    <w:p>
      <w:pPr>
        <w:pStyle w:val="Compact"/>
        <w:numPr>
          <w:numId w:val="1001"/>
          <w:ilvl w:val="0"/>
        </w:numPr>
      </w:pPr>
      <w:r>
        <w:t xml:space="preserve">Word document</w:t>
      </w:r>
    </w:p>
    <w:p>
      <w:pPr>
        <w:pStyle w:val="Compact"/>
        <w:numPr>
          <w:numId w:val="1001"/>
          <w:ilvl w:val="0"/>
        </w:numPr>
      </w:pPr>
      <w:r>
        <w:t xml:space="preserve">EPub book</w:t>
      </w:r>
    </w:p>
    <w:p>
      <w:pPr>
        <w:pStyle w:val="FirstParagraph"/>
      </w:pPr>
      <w:r>
        <w:t xml:space="preserve">From a technical point of view only three of these formats of mathematical text are accessible:</w:t>
      </w:r>
    </w:p>
    <w:p>
      <w:pPr>
        <w:pStyle w:val="Compact"/>
        <w:numPr>
          <w:numId w:val="1002"/>
          <w:ilvl w:val="0"/>
        </w:numPr>
      </w:pPr>
      <w:r>
        <w:t xml:space="preserve">HTML using MathJax to render all mathematical text (HTML book and page)</w:t>
      </w:r>
    </w:p>
    <w:p>
      <w:pPr>
        <w:pStyle w:val="Compact"/>
        <w:numPr>
          <w:numId w:val="1003"/>
          <w:ilvl w:val="1"/>
        </w:numPr>
      </w:pPr>
      <w:r>
        <w:t xml:space="preserve">HTML formats must meet WCAG 2.1 Level AA requirements and use MathJax to render all mathematical text.</w:t>
      </w:r>
    </w:p>
    <w:p>
      <w:pPr>
        <w:pStyle w:val="Compact"/>
        <w:numPr>
          <w:numId w:val="1003"/>
          <w:ilvl w:val="1"/>
        </w:numPr>
      </w:pPr>
      <w:r>
        <w:t xml:space="preserve">You can check your document meets the legal requirement of WCAG 2.1 Level AA with e.g.</w:t>
      </w:r>
      <w:r>
        <w:t xml:space="preserve"> </w:t>
      </w:r>
      <w:hyperlink r:id="rId23">
        <w:r>
          <w:rPr>
            <w:rStyle w:val="Hyperlink"/>
          </w:rPr>
          <w:t xml:space="preserve">Accessibility Insights for Web plugin for Chrome</w:t>
        </w:r>
      </w:hyperlink>
    </w:p>
    <w:p>
      <w:pPr>
        <w:pStyle w:val="Compact"/>
        <w:numPr>
          <w:numId w:val="1003"/>
          <w:ilvl w:val="1"/>
        </w:numPr>
      </w:pPr>
      <w:r>
        <w:t xml:space="preserve">You can check it is MathJax by right clicking on the expression (try it in the HTML version):</w:t>
      </w:r>
    </w:p>
    <w:p>
      <w:pPr>
        <w:pStyle w:val="Compac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Compact"/>
        <w:numPr>
          <w:numId w:val="1002"/>
          <w:ilvl w:val="0"/>
        </w:numPr>
      </w:pPr>
      <w:r>
        <w:t xml:space="preserve">Word document using in-built Equation Editor for all mathematical text</w:t>
      </w:r>
    </w:p>
    <w:p>
      <w:pPr>
        <w:pStyle w:val="Compact"/>
        <w:numPr>
          <w:numId w:val="1004"/>
          <w:ilvl w:val="1"/>
        </w:numPr>
      </w:pPr>
      <w:r>
        <w:t xml:space="preserve">Word formats must pass the in-built Accessibility Checker and use the in-built Equation Editor for all mathematical text.</w:t>
      </w:r>
    </w:p>
    <w:p>
      <w:pPr>
        <w:pStyle w:val="Compact"/>
        <w:numPr>
          <w:numId w:val="1004"/>
          <w:ilvl w:val="1"/>
        </w:numPr>
      </w:pPr>
      <w:r>
        <w:t xml:space="preserve">You can use the in-built Word Accessibility Checker and information on</w:t>
      </w:r>
      <w:r>
        <w:t xml:space="preserve"> </w:t>
      </w:r>
      <w:hyperlink r:id="rId24">
        <w:r>
          <w:rPr>
            <w:rStyle w:val="Hyperlink"/>
          </w:rPr>
          <w:t xml:space="preserve">Making your Word documents accessible</w:t>
        </w:r>
      </w:hyperlink>
      <w:r>
        <w:t xml:space="preserve"> </w:t>
      </w:r>
      <w:r>
        <w:t xml:space="preserve">to check your document.</w:t>
      </w:r>
    </w:p>
    <w:p>
      <w:pPr>
        <w:pStyle w:val="Compact"/>
        <w:numPr>
          <w:numId w:val="1004"/>
          <w:ilvl w:val="1"/>
        </w:numPr>
      </w:pPr>
      <w:r>
        <w:t xml:space="preserve">You can use Review -&gt; Read Aloud (Alt + Ctrl + Space) to check the maths</w:t>
      </w:r>
    </w:p>
    <w:p>
      <w:pPr>
        <w:pStyle w:val="Compact"/>
        <w:numPr>
          <w:numId w:val="1002"/>
          <w:ilvl w:val="0"/>
        </w:numPr>
      </w:pPr>
      <w:r>
        <w:t xml:space="preserve">EPub3 using MathML for all mathematical text:</w:t>
      </w:r>
    </w:p>
    <w:p>
      <w:pPr>
        <w:pStyle w:val="Compact"/>
        <w:numPr>
          <w:numId w:val="1005"/>
          <w:ilvl w:val="1"/>
        </w:numPr>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p>
      <w:pPr>
        <w:pStyle w:val="Heading2"/>
      </w:pPr>
      <w:bookmarkStart w:id="25" w:name="why-do-we-still-supply-inaccessible-pdfs"/>
      <w:r>
        <w:t xml:space="preserve">Why do we still supply inaccessible PDFs?</w:t>
      </w:r>
      <w:bookmarkEnd w:id="25"/>
    </w:p>
    <w:p>
      <w:pPr>
        <w:pStyle w:val="FirstParagraph"/>
      </w:pPr>
      <w:r>
        <w:t xml:space="preserve">It isn’t possible to create accessible PDFs using LaTeX. Even if a PDF is accessible the mathematical text within it will</w:t>
      </w:r>
      <w:r>
        <w:t xml:space="preserve"> </w:t>
      </w:r>
      <w:r>
        <w:rPr>
          <w:b/>
        </w:rPr>
        <w:t xml:space="preserve">still be technically inaccessible</w:t>
      </w:r>
      <w:r>
        <w:t xml:space="preserve"> </w:t>
      </w:r>
      <w:r>
        <w:t xml:space="preserve">regardless of how the PDF has been produced but…</w:t>
      </w:r>
    </w:p>
    <w:p>
      <w:pPr>
        <w:pStyle w:val="Compact"/>
        <w:numPr>
          <w:numId w:val="1006"/>
          <w:ilvl w:val="0"/>
        </w:numPr>
      </w:pPr>
      <w:r>
        <w:t xml:space="preserve">not all accessibility is about technical access - for some a clear or large print PDF is best</w:t>
      </w:r>
    </w:p>
    <w:p>
      <w:pPr>
        <w:pStyle w:val="Compact"/>
        <w:numPr>
          <w:numId w:val="1006"/>
          <w:ilvl w:val="0"/>
        </w:numPr>
      </w:pPr>
      <w:r>
        <w:t xml:space="preserve">clear print is selected most often by disabled students in the Department of Mathematical Sciences.</w:t>
      </w:r>
    </w:p>
    <w:p>
      <w:pPr>
        <w:pStyle w:val="Heading1"/>
      </w:pPr>
      <w:bookmarkStart w:id="26" w:name="testing-some-theorem-stuff"/>
      <w:r>
        <w:t xml:space="preserve">Testing some theorem stuff</w:t>
      </w:r>
      <w:bookmarkEnd w:id="26"/>
    </w:p>
    <w:p>
      <w:pPr>
        <w:pStyle w:val="Compact"/>
      </w:pPr>
    </w:p>
    <w:bookmarkStart w:id="27" w:name="thm:thm1"/>
    <w:p>
      <w:pPr>
        <w:pStyle w:val="Compact"/>
      </w:pPr>
      <w:r>
        <w:t xml:space="preserve">Theorem 2.1:</w:t>
      </w:r>
      <w:r>
        <w:t xml:space="preserve"> </w:t>
      </w:r>
      <w:r>
        <w:t xml:space="preserve">(Foo)</w:t>
      </w:r>
      <w:r>
        <w:t xml:space="preserve"> </w:t>
      </w:r>
      <w:r>
        <w:t xml:space="preserve"> </w:t>
      </w:r>
      <w:r>
        <w:t xml:space="preserve">Bookdown is needed for things like theorems and internal references</w:t>
      </w:r>
    </w:p>
    <w:bookmarkEnd w:id="27"/>
    <w:p>
      <w:pPr>
        <w:pStyle w:val="Compact"/>
      </w:pPr>
    </w:p>
    <w:bookmarkStart w:id="28" w:name="prp:prp1"/>
    <w:p>
      <w:pPr>
        <w:pStyle w:val="Compact"/>
      </w:pPr>
      <w:r>
        <w:t xml:space="preserve">Proposition 2.2:</w:t>
      </w:r>
      <w:r>
        <w:t xml:space="preserve"> </w:t>
      </w:r>
      <w:r>
        <w:t xml:space="preserve">(Thingy we need for</w:t>
      </w:r>
      <w:r>
        <w:t xml:space="preserve"> </w:t>
      </w:r>
      <w:r>
        <w:t xml:space="preserve">2.1</w:t>
      </w:r>
      <w:r>
        <w:t xml:space="preserve">)</w:t>
      </w:r>
      <w:r>
        <w:t xml:space="preserve"> </w:t>
      </w:r>
      <w:r>
        <w:t xml:space="preserve"> </w:t>
      </w:r>
      <w:r>
        <w:t xml:space="preserve">You can create new theorem types</w:t>
      </w:r>
    </w:p>
    <w:bookmarkEnd w:id="28"/>
    <w:p>
      <w:pPr>
        <w:pStyle w:val="Compact"/>
      </w:pPr>
    </w:p>
    <w:p>
      <w:pPr>
        <w:pStyle w:val="Compact"/>
      </w:pPr>
      <w:r>
        <w:t xml:space="preserve"> </w:t>
      </w:r>
      <w:r>
        <w:t xml:space="preserve">Proof: (Of theorem</w:t>
      </w:r>
      <w:r>
        <w:t xml:space="preserve"> </w:t>
      </w:r>
      <w:r>
        <w:t xml:space="preserve">2.1</w:t>
      </w:r>
      <w:r>
        <w:t xml:space="preserve">)</w:t>
      </w:r>
      <w:r>
        <w:t xml:space="preserve"> </w:t>
      </w:r>
      <w:r>
        <w:t xml:space="preserve">Here is a proof</w:t>
      </w:r>
    </w:p>
    <w:p>
      <w:pPr>
        <w:pStyle w:val="Compact"/>
      </w:pPr>
      <w:r>
        <w:t xml:space="preserve">&lt;div class=</w:t>
      </w:r>
      <w:r>
        <w:t xml:space="preserve">“</w:t>
      </w:r>
      <w:r>
        <w:t xml:space="preserve">bookdown-proof</w:t>
      </w:r>
      <w:r>
        <w:t xml:space="preserve">”</w:t>
      </w:r>
      <w:r>
        <w:t xml:space="preserve"> </w:t>
      </w:r>
      <w:r>
        <w:t xml:space="preserve">id=</w:t>
      </w:r>
      <w:r>
        <w:t xml:space="preserve">“</w:t>
      </w:r>
      <w:r>
        <w:t xml:space="preserve">Proof</w:t>
      </w:r>
      <w:r>
        <w:t xml:space="preserve"> </w:t>
      </w:r>
      <w:r>
        <w:t xml:space="preserve">(Proof of theorem</w:t>
      </w:r>
      <w:r>
        <w:t xml:space="preserve"> </w:t>
      </w:r>
      <w:r>
        <w:t xml:space="preserve">2.1</w:t>
      </w:r>
      <w:r>
        <w:t xml:space="preserve">).</w:t>
      </w:r>
      <w:r>
        <w:t xml:space="preserve">”</w:t>
      </w:r>
      <w:r>
        <w:t xml:space="preserve">&gt;</w:t>
      </w:r>
      <w:r>
        <w:t xml:space="preserve"> </w:t>
      </w:r>
      <w:r>
        <w:t xml:space="preserve">Proof</w:t>
      </w:r>
      <w:r>
        <w:t xml:space="preserve"> </w:t>
      </w:r>
      <w:r>
        <w:t xml:space="preserve">(Proof of theorem</w:t>
      </w:r>
      <w:r>
        <w:t xml:space="preserve"> </w:t>
      </w:r>
      <w:r>
        <w:t xml:space="preserve">2.1</w:t>
      </w:r>
      <w:r>
        <w:t xml:space="preserve">).</w:t>
      </w:r>
      <w:r>
        <w:t xml:space="preserve"> </w:t>
      </w:r>
      <w:r>
        <w:t xml:space="preserve"> </w:t>
      </w:r>
      <w:r>
        <w:t xml:space="preserve">Here is a proof</w:t>
      </w:r>
    </w:p>
    <w:p>
      <w:pPr>
        <w:pStyle w:val="Compact"/>
      </w:pPr>
    </w:p>
    <w:bookmarkStart w:id="29" w:name="prp:prp2"/>
    <w:p>
      <w:pPr>
        <w:pStyle w:val="Compact"/>
      </w:pPr>
      <w:r>
        <w:t xml:space="preserve">Proposition 2.3:</w:t>
      </w:r>
      <w:r>
        <w:t xml:space="preserve"> </w:t>
      </w:r>
      <w:r>
        <w:t xml:space="preserve">Bookdown is needed for things like theorems and internal references</w:t>
      </w:r>
    </w:p>
    <w:bookmarkEnd w:id="29"/>
    <w:p>
      <w:pPr>
        <w:pStyle w:val="Compact"/>
      </w:pPr>
    </w:p>
    <w:p>
      <w:pPr>
        <w:pStyle w:val="Compact"/>
      </w:pPr>
      <w:bookmarkStart w:id="30" w:name="tho:tho1"/>
      <w:r>
        <w:t xml:space="preserve"> </w:t>
      </w:r>
      <w:r>
        <w:t xml:space="preserve">Thought 2.1: (Bar)</w:t>
      </w:r>
      <w:r>
        <w:t xml:space="preserve"> </w:t>
      </w:r>
      <w:bookmarkEnd w:id="30"/>
      <w:r>
        <w:t xml:space="preserve">You can create new theorem types</w:t>
      </w:r>
    </w:p>
    <w:p>
      <w:pPr>
        <w:pStyle w:val="Compact"/>
      </w:pPr>
    </w:p>
    <w:p>
      <w:pPr>
        <w:pStyle w:val="Compact"/>
      </w:pPr>
      <w:r>
        <w:t xml:space="preserve"> </w:t>
      </w:r>
      <w:r>
        <w:t xml:space="preserve">Wonder:</w:t>
      </w:r>
      <w:r>
        <w:t xml:space="preserve"> </w:t>
      </w:r>
      <w:r>
        <w:t xml:space="preserve">You can create new unumbered theorem types</w:t>
      </w:r>
    </w:p>
    <w:p>
      <w:pPr>
        <w:pStyle w:val="Compact"/>
      </w:pPr>
    </w:p>
    <w:p>
      <w:pPr>
        <w:pStyle w:val="Compact"/>
      </w:pPr>
      <w:bookmarkStart w:id="31" w:name="nug:nug1"/>
      <w:r>
        <w:t xml:space="preserve"> </w:t>
      </w:r>
      <w:r>
        <w:t xml:space="preserve">Nugget 2.2:</w:t>
      </w:r>
      <w:r>
        <w:t xml:space="preserve"> </w:t>
      </w:r>
      <w:bookmarkEnd w:id="31"/>
      <w:r>
        <w:t xml:space="preserve">You can create new theorem types</w:t>
      </w:r>
    </w:p>
    <w:p>
      <w:pPr>
        <w:pStyle w:val="TextBody"/>
      </w:pPr>
      <w:r>
        <w:t xml:space="preserve">Now go to</w:t>
      </w:r>
      <w:r>
        <w:t xml:space="preserve"> </w:t>
      </w:r>
      <w:r>
        <w:t xml:space="preserve">2.1</w:t>
      </w:r>
      <w:r>
        <w:t xml:space="preserve">.</w:t>
      </w:r>
    </w:p>
    <w:p>
      <w:pPr>
        <w:pStyle w:val="Compact"/>
      </w:pPr>
    </w:p>
    <w:p>
      <w:pPr>
        <w:pStyle w:val="Compact"/>
      </w:pPr>
      <w:bookmarkStart w:id="32" w:name="sol:sol1"/>
      <w:r>
        <w:t xml:space="preserve"> </w:t>
      </w:r>
      <w:r>
        <w:t xml:space="preserve">Solution 2.1:</w:t>
      </w:r>
      <w:r>
        <w:t xml:space="preserve"> </w:t>
      </w:r>
      <w:bookmarkEnd w:id="32"/>
      <w:r>
        <w:t xml:space="preserve">You can create new theorem types</w:t>
      </w:r>
    </w:p>
    <w:p>
      <w:pPr>
        <w:pStyle w:val="Compact"/>
      </w:pPr>
    </w:p>
    <w:bookmarkStart w:id="33" w:name="&lt;em&gt;Solution. &lt;/em&gt;"/>
    <w:p>
      <w:pPr>
        <w:pStyle w:val="Compact"/>
      </w:pPr>
      <w:r>
        <w:t xml:space="preserve"> </w:t>
      </w:r>
      <w:r>
        <w:t xml:space="preserve">Solution.</w:t>
      </w:r>
      <w:r>
        <w:t xml:space="preserve"> </w:t>
      </w:r>
      <w:r>
        <w:t xml:space="preserve"> </w:t>
      </w:r>
      <w:r>
        <w:t xml:space="preserve">Test</w:t>
      </w:r>
    </w:p>
    <w:bookmarkEnd w:id="33"/>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9d184c"/>
    <w:pPr>
      <w:widowControl/>
      <w:bidi w:val="0"/>
      <w:spacing w:before="0" w:after="200"/>
      <w:jc w:val="left"/>
    </w:pPr>
    <w:rPr>
      <w:rFonts w:ascii="Arial" w:hAnsi="Arial"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683f40"/>
    <w:pPr>
      <w:keepNext w:val="true"/>
      <w:keepLines/>
      <w:numPr>
        <w:ilvl w:val="0"/>
        <w:numId w:val="1"/>
      </w:numPr>
      <w:spacing w:before="480" w:after="0"/>
      <w:ind w:left="0" w:right="0" w:hanging="0"/>
      <w:outlineLvl w:val="0"/>
    </w:pPr>
    <w:rPr>
      <w:rFonts w:eastAsia="" w:cs="" w:cstheme="majorBidi" w:eastAsiaTheme="majorEastAsia"/>
      <w:b/>
      <w:bCs/>
      <w:color w:val="244061" w:themeColor="accent1" w:themeShade="80"/>
      <w:sz w:val="36"/>
      <w:szCs w:val="32"/>
    </w:rPr>
  </w:style>
  <w:style w:type="paragraph" w:styleId="Heading2">
    <w:name w:val="Heading 2"/>
    <w:basedOn w:val="Normal"/>
    <w:next w:val="TextBody"/>
    <w:uiPriority w:val="9"/>
    <w:unhideWhenUsed/>
    <w:qFormat/>
    <w:rsid w:val="00683f40"/>
    <w:pPr>
      <w:keepNext w:val="true"/>
      <w:keepLines/>
      <w:numPr>
        <w:ilvl w:val="0"/>
        <w:numId w:val="1"/>
      </w:numPr>
      <w:spacing w:before="200" w:after="0"/>
      <w:ind w:left="0" w:right="0" w:hanging="0"/>
      <w:outlineLvl w:val="1"/>
    </w:pPr>
    <w:rPr>
      <w:rFonts w:eastAsia="" w:cs="" w:cstheme="majorBidi" w:eastAsiaTheme="majorEastAsia"/>
      <w:b/>
      <w:bCs/>
      <w:color w:val="244061" w:themeColor="accent1" w:themeShade="80"/>
      <w:sz w:val="32"/>
      <w:szCs w:val="32"/>
    </w:rPr>
  </w:style>
  <w:style w:type="paragraph" w:styleId="Heading3">
    <w:name w:val="Heading 3"/>
    <w:basedOn w:val="Normal"/>
    <w:next w:val="TextBody"/>
    <w:uiPriority w:val="9"/>
    <w:unhideWhenUsed/>
    <w:qFormat/>
    <w:rsid w:val="00683f40"/>
    <w:pPr>
      <w:keepNext w:val="true"/>
      <w:keepLines/>
      <w:numPr>
        <w:ilvl w:val="0"/>
        <w:numId w:val="1"/>
      </w:numPr>
      <w:spacing w:before="200" w:after="0"/>
      <w:ind w:left="0" w:right="0" w:hanging="0"/>
      <w:outlineLvl w:val="2"/>
    </w:pPr>
    <w:rPr>
      <w:rFonts w:eastAsia="" w:cs="" w:cstheme="majorBidi" w:eastAsiaTheme="majorEastAsia"/>
      <w:b/>
      <w:bCs/>
      <w:color w:val="244061" w:themeColor="accent1" w:themeShade="80"/>
      <w:sz w:val="28"/>
      <w:szCs w:val="28"/>
    </w:rPr>
  </w:style>
  <w:style w:type="paragraph" w:styleId="Heading4">
    <w:name w:val="Heading 4"/>
    <w:basedOn w:val="Normal"/>
    <w:next w:val="TextBody"/>
    <w:uiPriority w:val="9"/>
    <w:unhideWhenUsed/>
    <w:qFormat/>
    <w:rsid w:val="00b45ad4"/>
    <w:pPr>
      <w:keepNext w:val="true"/>
      <w:keepLines/>
      <w:spacing w:before="200" w:after="0"/>
      <w:outlineLvl w:val="3"/>
    </w:pPr>
    <w:rPr>
      <w:rFonts w:eastAsia="" w:cs="" w:cstheme="majorBidi" w:eastAsiaTheme="majorEastAsia"/>
      <w:b/>
      <w:bCs/>
      <w:color w:val="365F91" w:themeColor="accent1" w:themeShade="bf"/>
      <w:sz w:val="26"/>
    </w:rPr>
  </w:style>
  <w:style w:type="paragraph" w:styleId="Heading5">
    <w:name w:val="Heading 5"/>
    <w:basedOn w:val="Normal"/>
    <w:next w:val="TextBody"/>
    <w:uiPriority w:val="9"/>
    <w:unhideWhenUsed/>
    <w:qFormat/>
    <w:rsid w:val="00b45ad4"/>
    <w:pPr>
      <w:keepNext w:val="true"/>
      <w:keepLines/>
      <w:spacing w:before="200" w:after="0"/>
      <w:outlineLvl w:val="4"/>
    </w:pPr>
    <w:rPr>
      <w:rFonts w:eastAsia="" w:cs="" w:cstheme="majorBidi" w:eastAsiaTheme="majorEastAsia"/>
      <w:b/>
      <w:iCs/>
      <w:color w:val="365F91" w:themeColor="accent1" w:themeShade="bf"/>
    </w:rPr>
  </w:style>
  <w:style w:type="paragraph" w:styleId="Heading6">
    <w:name w:val="Heading 6"/>
    <w:basedOn w:val="Normal"/>
    <w:next w:val="TextBody"/>
    <w:uiPriority w:val="9"/>
    <w:unhideWhenUsed/>
    <w:qFormat/>
    <w:rsid w:val="00b45ad4"/>
    <w:pPr>
      <w:keepNext w:val="true"/>
      <w:keepLines/>
      <w:spacing w:before="200" w:after="0"/>
      <w:outlineLvl w:val="5"/>
    </w:pPr>
    <w:rPr>
      <w:rFonts w:eastAsia="" w:cs="" w:cstheme="majorBidi" w:eastAsiaTheme="majorEastAsia"/>
      <w:i/>
      <w:color w:val="365F91" w:themeColor="accent1" w:themeShade="bf"/>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uiPriority w:val="99"/>
    <w:rsid w:val="00206cdd"/>
    <w:rPr>
      <w:color w:val="365F91" w:themeColor="accent1" w:themeShade="bf"/>
      <w:u w:val="none"/>
    </w:rPr>
  </w:style>
  <w:style w:type="character" w:styleId="Theorem" w:customStyle="1">
    <w:name w:val="Theorem"/>
    <w:basedOn w:val="CaptionChar"/>
    <w:qFormat/>
    <w:rsid w:val="009d184c"/>
    <w:rPr>
      <w:b/>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9d184c"/>
    <w:rPr>
      <w:rFonts w:ascii="Arial" w:hAnsi="Arial"/>
    </w:rPr>
  </w:style>
  <w:style w:type="character" w:styleId="Mention">
    <w:name w:val="Mention"/>
    <w:basedOn w:val="DefaultParagraphFont"/>
    <w:uiPriority w:val="99"/>
    <w:semiHidden/>
    <w:unhideWhenUsed/>
    <w:qFormat/>
    <w:rsid w:val="00a336b7"/>
    <w:rPr>
      <w:color w:val="2B579A"/>
      <w:shd w:fill="E6E6E6" w:val="clear"/>
    </w:rPr>
  </w:style>
  <w:style w:type="character" w:styleId="PlaceholderText">
    <w:name w:val="Placeholder Text"/>
    <w:basedOn w:val="DefaultParagraphFont"/>
    <w:semiHidden/>
    <w:qFormat/>
    <w:rsid w:val="000a6181"/>
    <w:rPr>
      <w:color w:val="808080"/>
    </w:rPr>
  </w:style>
  <w:style w:type="character" w:styleId="FollowedHyperlink">
    <w:name w:val="FollowedHyperlink"/>
    <w:basedOn w:val="DefaultParagraphFont"/>
    <w:semiHidden/>
    <w:unhideWhenUsed/>
    <w:qFormat/>
    <w:rsid w:val="000a6181"/>
    <w:rPr>
      <w:color w:val="800080" w:themeColor="followedHyperlink"/>
      <w:u w:val="single"/>
    </w:rPr>
  </w:style>
  <w:style w:type="character" w:styleId="ForceleftChar" w:customStyle="1">
    <w:name w:val="forceleft Char"/>
    <w:basedOn w:val="DefaultParagraphFont"/>
    <w:link w:val="forceleft"/>
    <w:qFormat/>
    <w:rsid w:val="00754a96"/>
    <w:rPr>
      <w:rFonts w:ascii="Arial" w:hAnsi="Aria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9d184c"/>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683f40"/>
    <w:pPr>
      <w:keepNext w:val="true"/>
      <w:keepLines/>
      <w:spacing w:before="480" w:after="240"/>
      <w:jc w:val="center"/>
    </w:pPr>
    <w:rPr>
      <w:rFonts w:eastAsia="" w:cs="" w:cstheme="majorBidi" w:eastAsiaTheme="majorEastAsia"/>
      <w:b/>
      <w:bCs/>
      <w:color w:val="0F243E" w:themeColor="text2" w:themeShade="8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rsid w:val="009d184c"/>
    <w:pPr>
      <w:spacing w:before="100" w:after="100"/>
    </w:pPr>
    <w:rPr>
      <w:rFonts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rsid w:val="00b45ad4"/>
    <w:pPr>
      <w:numPr>
        <w:ilvl w:val="0"/>
        <w:numId w:val="0"/>
      </w:numPr>
      <w:spacing w:lineRule="auto" w:line="259" w:before="240" w:after="0"/>
      <w:ind w:left="0" w:right="0" w:hanging="0"/>
    </w:pPr>
    <w:rPr>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Normal"/>
    <w:next w:val="Normal"/>
    <w:autoRedefine/>
    <w:uiPriority w:val="39"/>
    <w:unhideWhenUsed/>
    <w:rsid w:val="00b45ad4"/>
    <w:pPr>
      <w:spacing w:before="0" w:after="100"/>
    </w:pPr>
    <w:rPr/>
  </w:style>
  <w:style w:type="paragraph" w:styleId="Contents2">
    <w:name w:val="TOC 2"/>
    <w:basedOn w:val="Normal"/>
    <w:next w:val="Normal"/>
    <w:autoRedefine/>
    <w:uiPriority w:val="39"/>
    <w:unhideWhenUsed/>
    <w:rsid w:val="00b45ad4"/>
    <w:pPr>
      <w:spacing w:before="0" w:after="100"/>
      <w:ind w:left="240" w:hanging="0"/>
    </w:pPr>
    <w:rPr/>
  </w:style>
  <w:style w:type="paragraph" w:styleId="Contents3">
    <w:name w:val="TOC 3"/>
    <w:basedOn w:val="Normal"/>
    <w:next w:val="Normal"/>
    <w:autoRedefine/>
    <w:uiPriority w:val="39"/>
    <w:unhideWhenUsed/>
    <w:rsid w:val="00b45ad4"/>
    <w:pPr>
      <w:spacing w:before="0" w:after="100"/>
      <w:ind w:left="480" w:hanging="0"/>
    </w:pPr>
    <w:rPr/>
  </w:style>
  <w:style w:type="paragraph" w:styleId="Forceleft" w:customStyle="1">
    <w:name w:val="forceleft"/>
    <w:basedOn w:val="Normal"/>
    <w:link w:val="forceleftChar"/>
    <w:qFormat/>
    <w:rsid w:val="00754a96"/>
    <w:pPr/>
    <w:rPr/>
  </w:style>
  <w:style w:type="numbering" w:styleId="NoList" w:default="1">
    <w:name w:val="No List"/>
    <w:uiPriority w:val="99"/>
    <w:semiHidden/>
    <w:unhideWhenUsed/>
    <w:qFormat/>
  </w:style>
  <w:style w:type="numbering" w:styleId="List1">
    <w:name w:val="List 1"/>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ccessibilityinsights.io/docs/en/web/overview" TargetMode="External" /><Relationship Type="http://schemas.openxmlformats.org/officeDocument/2006/relationships/hyperlink" Id="rId24" Target="https://support.office.com/en-gb/article/make-your-word-documents-accessible-to-people-with-disabilities-d9bf3683-87ac-47ea-b91a-78dcacb3c66d" TargetMode="External" /><Relationship Type="http://schemas.openxmlformats.org/officeDocument/2006/relationships/hyperlink" Id="rId21"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3" Target="https://accessibilityinsights.io/docs/en/web/overview" TargetMode="External" /><Relationship Type="http://schemas.openxmlformats.org/officeDocument/2006/relationships/hyperlink" Id="rId24" Target="https://support.office.com/en-gb/article/make-your-word-documents-accessible-to-people-with-disabilities-d9bf3683-87ac-47ea-b91a-78dcacb3c66d" TargetMode="External" /><Relationship Type="http://schemas.openxmlformats.org/officeDocument/2006/relationships/hyperlink" Id="rId21"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28</Words>
  <Characters>123</Characters>
  <CharactersWithSpaces>140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2020-08-20T21:46:56Z</dcterms:created>
  <dcterms:modified xsi:type="dcterms:W3CDTF">2020-08-20T21:46:56Z</dcterms:modified>
</cp:coreProperties>
</file>