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009:</w:t>
      </w:r>
      <w:r>
        <w:t xml:space="preserve"> </w:t>
      </w:r>
      <w:r>
        <w:t xml:space="preserve">Aligning</w:t>
      </w:r>
      <w:r>
        <w:t xml:space="preserve"> </w:t>
      </w:r>
      <w:r>
        <w:t xml:space="preserve">styles</w:t>
      </w:r>
      <w:r>
        <w:t xml:space="preserve"> </w:t>
      </w:r>
      <w:r>
        <w:t xml:space="preserve">between</w:t>
      </w:r>
      <w:r>
        <w:t xml:space="preserve"> </w:t>
      </w:r>
      <w:r>
        <w:t xml:space="preserve">PDF</w:t>
      </w:r>
      <w:r>
        <w:t xml:space="preserve"> </w:t>
      </w:r>
      <w:r>
        <w:t xml:space="preserve">and</w:t>
      </w:r>
      <w:r>
        <w:t xml:space="preserve"> </w:t>
      </w:r>
      <w:r>
        <w:t xml:space="preserve">nonPDF</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bookmarkStart w:id="20"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numPr>
          <w:ilvl w:val="0"/>
          <w:numId w:val="1001"/>
        </w:numPr>
        <w:pStyle w:val="Compact"/>
      </w:pPr>
      <w:r>
        <w:t xml:space="preserve">ProofStyle: (P|p)roof(s), (S|s)olution(s), (S|s)oln(s), (R|r)emark(s) and anything including these words; if not then one of the below</w:t>
      </w:r>
    </w:p>
    <w:p>
      <w:pPr>
        <w:numPr>
          <w:ilvl w:val="0"/>
          <w:numId w:val="1001"/>
        </w:numPr>
        <w:pStyle w:val="Compact"/>
      </w:pPr>
      <w:r>
        <w:t xml:space="preserve">ExampleStyle: (E|e)xample(s), (E|e)xercise(s) and anything including these words; if not then one of the below</w:t>
      </w:r>
    </w:p>
    <w:p>
      <w:pPr>
        <w:numPr>
          <w:ilvl w:val="0"/>
          <w:numId w:val="1001"/>
        </w:numPr>
        <w:pStyle w:val="Compact"/>
      </w:pPr>
      <w:r>
        <w:t xml:space="preserve">DefinitionStyle: (D|d)efinition(s), (D|d)efn(s) and anything including these words; if not then defaults to the below</w:t>
      </w:r>
    </w:p>
    <w:p>
      <w:pPr>
        <w:numPr>
          <w:ilvl w:val="0"/>
          <w:numId w:val="1001"/>
        </w:numPr>
        <w:pStyle w:val="Compact"/>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numPr>
          <w:ilvl w:val="0"/>
          <w:numId w:val="1002"/>
        </w:numPr>
        <w:pStyle w:val="Compact"/>
      </w:pPr>
      <w:r>
        <w:t xml:space="preserve">Plain</w:t>
      </w:r>
    </w:p>
    <w:p>
      <w:pPr>
        <w:numPr>
          <w:ilvl w:val="0"/>
          <w:numId w:val="1002"/>
        </w:numPr>
        <w:pStyle w:val="Compact"/>
      </w:pPr>
      <w:r>
        <w:t xml:space="preserve">Definition</w:t>
      </w:r>
    </w:p>
    <w:p>
      <w:pPr>
        <w:numPr>
          <w:ilvl w:val="0"/>
          <w:numId w:val="1002"/>
        </w:numPr>
        <w:pStyle w:val="Compact"/>
      </w:pPr>
      <w:r>
        <w:t xml:space="preserve">Remark</w:t>
      </w:r>
    </w:p>
    <w:p>
      <w:pPr>
        <w:pStyle w:val="FirstParagraph"/>
      </w:pPr>
      <w:r>
        <w:t xml:space="preserve">are used to impose the authors visual preferences mostly with respect to font, font attributes and layout.</w:t>
      </w:r>
    </w:p>
    <w:bookmarkEnd w:id="20"/>
    <w:bookmarkStart w:id="22"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numPr>
          <w:ilvl w:val="0"/>
          <w:numId w:val="1003"/>
        </w:numPr>
        <w:pStyle w:val="Compact"/>
      </w:pPr>
      <w:r>
        <w:t xml:space="preserve">This happened because Remarks and Sketch Proof were recognised and classified but notation wasn’t.</w:t>
      </w:r>
    </w:p>
    <w:p>
      <w:pPr>
        <w:numPr>
          <w:ilvl w:val="0"/>
          <w:numId w:val="1003"/>
        </w:numPr>
        <w:pStyle w:val="Compact"/>
      </w:pPr>
      <w:r>
        <w:t xml:space="preserve">I can never cover all bases</w:t>
      </w:r>
    </w:p>
    <w:p>
      <w:pPr>
        <w:numPr>
          <w:ilvl w:val="0"/>
          <w:numId w:val="1003"/>
        </w:numPr>
        <w:pStyle w:val="Compact"/>
      </w:pPr>
      <w:r>
        <w:t xml:space="preserve">The same author does not use plain and definition style to distinguish by type as the styling with italics is not something wanted.</w:t>
      </w:r>
    </w:p>
    <w:p>
      <w:pPr>
        <w:numPr>
          <w:ilvl w:val="0"/>
          <w:numId w:val="1003"/>
        </w:numPr>
        <w:pStyle w:val="Compact"/>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numPr>
          <w:ilvl w:val="0"/>
          <w:numId w:val="1004"/>
        </w:numPr>
        <w:pStyle w:val="Compact"/>
      </w:pPr>
      <w:r>
        <w:t xml:space="preserve">Give the author direct control over which class of HTML to place each thing in</w:t>
      </w:r>
    </w:p>
    <w:p>
      <w:pPr>
        <w:numPr>
          <w:ilvl w:val="0"/>
          <w:numId w:val="1004"/>
        </w:numPr>
        <w:pStyle w:val="Compact"/>
      </w:pPr>
      <w:r>
        <w:t xml:space="preserve">Try to guess what is wanted using additional information provided by style_with (but we know from experience that this is usually syntactic) and/or number_by (likely to be less misleading)</w:t>
      </w:r>
    </w:p>
    <w:p>
      <w:pPr>
        <w:numPr>
          <w:ilvl w:val="0"/>
          <w:numId w:val="1004"/>
        </w:numPr>
        <w:pStyle w:val="Compact"/>
      </w:pPr>
      <w:r>
        <w:t xml:space="preserve">Try to infer based on text analysis</w:t>
      </w:r>
    </w:p>
    <w:p>
      <w:pPr>
        <w:numPr>
          <w:ilvl w:val="0"/>
          <w:numId w:val="1004"/>
        </w:numPr>
        <w:pStyle w:val="Compact"/>
      </w:pPr>
      <w:r>
        <w:t xml:space="preserve">Use a combination of the above</w:t>
      </w:r>
    </w:p>
    <w:p>
      <w:pPr>
        <w:pStyle w:val="FirstParagraph"/>
      </w:pPr>
      <w:r>
        <w:t xml:space="preserve">The easiest is clearly the first. While I am at it I can give the user control over the use of italics in the HTML.</w:t>
      </w:r>
    </w:p>
    <w:bookmarkStart w:id="21" w:name="thoughts"/>
    <w:p>
      <w:pPr>
        <w:pStyle w:val="Heading2"/>
      </w:pPr>
      <w:r>
        <w:t xml:space="preserve">Thoughts</w:t>
      </w:r>
    </w:p>
    <w:p>
      <w:pPr>
        <w:pStyle w:val="FirstParagraph"/>
      </w:pPr>
      <w:r>
        <w:t xml:space="preserve">The only requirements we have in the code are:</w:t>
      </w:r>
    </w:p>
    <w:p>
      <w:pPr>
        <w:numPr>
          <w:ilvl w:val="0"/>
          <w:numId w:val="1005"/>
        </w:numPr>
        <w:pStyle w:val="Compact"/>
      </w:pPr>
      <w:r>
        <w:t xml:space="preserve">Retain backwards compatibility with clavertondown in terms of style_with and colouroff</w:t>
      </w:r>
    </w:p>
    <w:p>
      <w:pPr>
        <w:numPr>
          <w:ilvl w:val="0"/>
          <w:numId w:val="1005"/>
        </w:numPr>
        <w:pStyle w:val="Compact"/>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21"/>
    <w:bookmarkEnd w:id="22"/>
    <w:bookmarkStart w:id="25" w:name="tests"/>
    <w:p>
      <w:pPr>
        <w:pStyle w:val="Heading1"/>
      </w:pPr>
      <w:r>
        <w:t xml:space="preserve">Tests</w:t>
      </w:r>
    </w:p>
    <w:p>
      <w:pPr>
        <w:pStyle w:val="FirstParagraph"/>
      </w:pPr>
    </w:p>
    <w:bookmarkStart w:id="24" w:name="thm:unnamed-chunk-1"/>
    <w:p>
      <w:pPr>
        <w:pStyle w:val="TheoremStyleUpright"/>
      </w:pPr>
      <w:bookmarkStart w:id="23" w:name="thm:unnamed-chunk-1"/>
      <w:bookmarkEnd w:id="23"/>
      <w:r>
        <w:rPr>
          <w:rStyle w:val="NameStyle"/>
        </w:rPr>
        <w:t xml:space="preserve">Theorem 3.1</w:t>
      </w:r>
      <w:r>
        <w:rPr>
          <w:rStyle w:val="NameStyle"/>
        </w:rPr>
        <w:t xml:space="preserve"> </w:t>
      </w:r>
    </w:p>
    <w:p>
      <w:pPr>
        <w:pStyle w:val="TheoremStyleUpright"/>
      </w:pPr>
      <w:r>
        <w:t xml:space="preserve">This is an inbuilt theorem.</w:t>
      </w:r>
    </w:p>
    <w:bookmarkEnd w:id="24"/>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2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2022-02-10T20:07:30Z</dcterms:created>
  <dcterms:modified xsi:type="dcterms:W3CDTF">2022-02-10T20:07:30Z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