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013: New theorems, numbering and styles with lists immediately inside and a newline present in clear and large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September 2022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temize-without-theorem"/>
    <w:p>
      <w:pPr>
        <w:pStyle w:val="Heading1"/>
      </w:pPr>
      <w:r>
        <w:t xml:space="preserve">Itemize without theorem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bookmarkEnd w:id="9"/>
    <w:bookmarkStart w:id="21" w:name="testing-some-theorem-stuff"/>
    <w:p>
      <w:pPr>
        <w:pStyle w:val="Heading1"/>
      </w:pPr>
      <w:r>
        <w:t xml:space="preserve">Testing some theorem stuff</w:t>
      </w:r>
    </w:p>
    <w:p>
      <w:pPr>
        <w:pStyle w:val="FirstParagraph"/>
      </w:pPr>
    </w:p>
    <w:bookmarkStart w:id="11" w:name="def:truth"/>
    <w:p>
      <w:pPr>
        <w:pStyle w:val="DefinitionStyle"/>
      </w:pPr>
      <w:bookmarkStart w:id="10" w:name="def:truth"/>
      <w:bookmarkEnd w:id="10"/>
      <w:r>
        <w:rPr>
          <w:rStyle w:val="NameStyle"/>
        </w:rPr>
        <w:t xml:space="preserve">Definition 2.1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</w:p>
    <w:p>
      <w:pPr>
        <w:pStyle w:val="Compact"/>
        <w:numPr>
          <w:ilvl w:val="0"/>
          <w:numId w:val="1002"/>
        </w:numPr>
      </w:pPr>
      <w:r>
        <w:t xml:space="preserve">Two</w:t>
      </w:r>
    </w:p>
    <w:p>
      <w:pPr>
        <w:pStyle w:val="DefinitionStyle"/>
      </w:pPr>
      <w:r>
        <w:t xml:space="preserve">Here is a definition.</w:t>
      </w:r>
    </w:p>
    <w:bookmarkEnd w:id="11"/>
    <w:p>
      <w:pPr>
        <w:pStyle w:val="BodyText"/>
      </w:pPr>
    </w:p>
    <w:bookmarkStart w:id="13" w:name="exm:unnamed-chunk-1"/>
    <w:p>
      <w:pPr>
        <w:pStyle w:val="ExampleStyle"/>
      </w:pPr>
      <w:bookmarkStart w:id="12" w:name="exm:unnamed-chunk-1"/>
      <w:bookmarkEnd w:id="12"/>
      <w:r>
        <w:rPr>
          <w:rStyle w:val="NameStyle"/>
        </w:rPr>
        <w:t xml:space="preserve">Example 2.1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One</w:t>
      </w:r>
    </w:p>
    <w:p>
      <w:pPr>
        <w:pStyle w:val="Compact"/>
        <w:numPr>
          <w:ilvl w:val="0"/>
          <w:numId w:val="1003"/>
        </w:numPr>
      </w:pPr>
      <w:r>
        <w:t xml:space="preserve">Two</w:t>
      </w:r>
    </w:p>
    <w:p>
      <w:pPr>
        <w:pStyle w:val="ExampleStyle"/>
      </w:pPr>
      <w:r>
        <w:t xml:space="preserve">Here is an example.</w:t>
      </w:r>
    </w:p>
    <w:bookmarkEnd w:id="13"/>
    <w:p>
      <w:pPr>
        <w:pStyle w:val="BodyText"/>
      </w:pPr>
      <w:r>
        <w:t xml:space="preserve">Here is some more boring text in between.</w:t>
      </w:r>
    </w:p>
    <w:p>
      <w:pPr>
        <w:pStyle w:val="BodyText"/>
      </w:pPr>
    </w:p>
    <w:bookmarkStart w:id="15" w:name="thm:thm1"/>
    <w:p>
      <w:pPr>
        <w:pStyle w:val="TheoremStyleUpright"/>
      </w:pPr>
      <w:bookmarkStart w:id="14" w:name="thm:thm1"/>
      <w:bookmarkEnd w:id="14"/>
      <w:r>
        <w:rPr>
          <w:rStyle w:val="NameStyle"/>
        </w:rPr>
        <w:t xml:space="preserve">Theorem 2.1 (Foo)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One</w:t>
      </w:r>
    </w:p>
    <w:p>
      <w:pPr>
        <w:pStyle w:val="Compact"/>
        <w:numPr>
          <w:ilvl w:val="0"/>
          <w:numId w:val="1004"/>
        </w:numPr>
      </w:pPr>
      <w:r>
        <w:t xml:space="preserve">Two</w:t>
      </w:r>
    </w:p>
    <w:p>
      <w:pPr>
        <w:pStyle w:val="TheoremStyleUpright"/>
      </w:pPr>
      <w:r>
        <w:t xml:space="preserve">Bookdown is needed for things like theorems and internal references</w:t>
      </w:r>
    </w:p>
    <w:bookmarkEnd w:id="15"/>
    <w:p>
      <w:pPr>
        <w:pStyle w:val="BodyText"/>
      </w:pPr>
    </w:p>
    <w:bookmarkStart w:id="17" w:name="prp:prp1"/>
    <w:p>
      <w:pPr>
        <w:pStyle w:val="TheoremStyleUpright"/>
      </w:pPr>
      <w:bookmarkStart w:id="16" w:name="prp:prp1"/>
      <w:bookmarkEnd w:id="16"/>
      <w:r>
        <w:rPr>
          <w:rStyle w:val="NameStyle"/>
        </w:rPr>
        <w:t xml:space="preserve">Proposition 2.2 (Thingy we need for</w:t>
      </w:r>
      <w:r>
        <w:rPr>
          <w:rStyle w:val="NameStyle"/>
        </w:rPr>
        <w:t xml:space="preserve"> </w:t>
      </w:r>
      <w:r>
        <w:rPr>
          <w:rStyle w:val="NameStyle"/>
        </w:rPr>
        <w:t xml:space="preserve">2.1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One</w:t>
      </w:r>
    </w:p>
    <w:p>
      <w:pPr>
        <w:pStyle w:val="Compact"/>
        <w:numPr>
          <w:ilvl w:val="0"/>
          <w:numId w:val="1005"/>
        </w:numPr>
      </w:pPr>
      <w:r>
        <w:t xml:space="preserve">Two</w:t>
      </w:r>
    </w:p>
    <w:p>
      <w:pPr>
        <w:pStyle w:val="TheoremStyleUpright"/>
      </w:pPr>
      <w:r>
        <w:t xml:space="preserve">You can create new theorem types</w:t>
      </w:r>
    </w:p>
    <w:bookmarkEnd w:id="17"/>
    <w:p>
      <w:pPr>
        <w:pStyle w:val="BodyText"/>
      </w:pPr>
    </w:p>
    <w:bookmarkStart w:id="18" w:name="tho:tho1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Thought 2.1: (Bar of</w:t>
      </w:r>
      <w:r>
        <w:rPr>
          <w:rStyle w:val="NameStyle"/>
        </w:rPr>
        <w:t xml:space="preserve"> </w:t>
      </w:r>
      <w:r>
        <w:rPr>
          <w:rStyle w:val="NameStyle"/>
        </w:rPr>
        <w:t xml:space="preserve">2.1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</w:p>
    <w:p>
      <w:pPr>
        <w:pStyle w:val="Compact"/>
        <w:numPr>
          <w:ilvl w:val="0"/>
          <w:numId w:val="1006"/>
        </w:numPr>
      </w:pPr>
      <w:r>
        <w:t xml:space="preserve">Two</w:t>
      </w:r>
    </w:p>
    <w:p>
      <w:pPr>
        <w:pStyle w:val="TheoremStyleUpright"/>
      </w:pPr>
      <w:r>
        <w:t xml:space="preserve">You can create new theorem types</w:t>
      </w:r>
    </w:p>
    <w:bookmarkEnd w:id="18"/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Proof: (Of theorem</w:t>
      </w:r>
      <w:r>
        <w:rPr>
          <w:rStyle w:val="NameStyle"/>
        </w:rPr>
        <w:t xml:space="preserve"> </w:t>
      </w:r>
      <w:r>
        <w:rPr>
          <w:rStyle w:val="NameStyle"/>
        </w:rPr>
        <w:t xml:space="preserve">2.1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One</w:t>
      </w:r>
    </w:p>
    <w:p>
      <w:pPr>
        <w:pStyle w:val="Compact"/>
        <w:numPr>
          <w:ilvl w:val="0"/>
          <w:numId w:val="1007"/>
        </w:numPr>
      </w:pPr>
      <w:r>
        <w:t xml:space="preserve">Two</w:t>
      </w:r>
    </w:p>
    <w:p>
      <w:pPr>
        <w:pStyle w:val="ProofStyle"/>
      </w:pPr>
      <w:r>
        <w:t xml:space="preserve">Here is a proof</w:t>
      </w:r>
    </w:p>
    <w:p>
      <w:pPr>
        <w:pStyle w:val="ProofStyle"/>
      </w:pPr>
      <w:r>
        <w:t xml:space="preserve">□</w:t>
      </w:r>
    </w:p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Proof (Proof of theorem</w:t>
      </w:r>
      <w:r>
        <w:rPr>
          <w:rStyle w:val="NameStyle"/>
        </w:rPr>
        <w:t xml:space="preserve"> </w:t>
      </w:r>
      <w:r>
        <w:rPr>
          <w:rStyle w:val="NameStyle"/>
        </w:rPr>
        <w:t xml:space="preserve">2.1</w:t>
      </w:r>
      <w:r>
        <w:rPr>
          <w:rStyle w:val="NameStyle"/>
        </w:rPr>
        <w:t xml:space="preserve">).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8"/>
        </w:numPr>
      </w:pPr>
      <w:r>
        <w:t xml:space="preserve">One</w:t>
      </w:r>
    </w:p>
    <w:p>
      <w:pPr>
        <w:pStyle w:val="Compact"/>
        <w:numPr>
          <w:ilvl w:val="0"/>
          <w:numId w:val="1008"/>
        </w:numPr>
      </w:pPr>
      <w:r>
        <w:t xml:space="preserve">Two</w:t>
      </w:r>
    </w:p>
    <w:p>
      <w:pPr>
        <w:pStyle w:val="ProofStyle"/>
      </w:pPr>
      <w:r>
        <w:t xml:space="preserve">Here is a proof</w:t>
      </w:r>
    </w:p>
    <w:p>
      <w:pPr>
        <w:pStyle w:val="ProofStyle"/>
      </w:pPr>
      <w:r>
        <w:t xml:space="preserve">□</w:t>
      </w:r>
    </w:p>
    <w:p>
      <w:pPr>
        <w:pStyle w:val="BodyText"/>
      </w:pPr>
    </w:p>
    <w:p>
      <w:pPr>
        <w:pStyle w:val="Definition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Defns: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09"/>
        </w:numPr>
      </w:pPr>
      <w:r>
        <w:t xml:space="preserve">One</w:t>
      </w:r>
    </w:p>
    <w:p>
      <w:pPr>
        <w:pStyle w:val="Compact"/>
        <w:numPr>
          <w:ilvl w:val="0"/>
          <w:numId w:val="1009"/>
        </w:numPr>
      </w:pPr>
      <w:r>
        <w:t xml:space="preserve">Two</w:t>
      </w:r>
    </w:p>
    <w:p>
      <w:pPr>
        <w:pStyle w:val="DefinitionStyle"/>
      </w:pPr>
      <w:r>
        <w:t xml:space="preserve">You can create new unumbered theorem types</w:t>
      </w:r>
    </w:p>
    <w:p>
      <w:pPr>
        <w:pStyle w:val="BodyText"/>
      </w:pPr>
    </w:p>
    <w:bookmarkStart w:id="19" w:name="nug:nug1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Nugget 2.2: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One</w:t>
      </w:r>
    </w:p>
    <w:p>
      <w:pPr>
        <w:pStyle w:val="Compact"/>
        <w:numPr>
          <w:ilvl w:val="0"/>
          <w:numId w:val="1010"/>
        </w:numPr>
      </w:pPr>
      <w:r>
        <w:t xml:space="preserve">Two</w:t>
      </w:r>
    </w:p>
    <w:p>
      <w:pPr>
        <w:pStyle w:val="TheoremStyleUpright"/>
      </w:pPr>
      <w:r>
        <w:t xml:space="preserve">You can create new theorem types</w:t>
      </w:r>
    </w:p>
    <w:bookmarkEnd w:id="19"/>
    <w:p>
      <w:pPr>
        <w:pStyle w:val="BodyText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Example: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One</w:t>
      </w:r>
    </w:p>
    <w:p>
      <w:pPr>
        <w:pStyle w:val="Compact"/>
        <w:numPr>
          <w:ilvl w:val="0"/>
          <w:numId w:val="1011"/>
        </w:numPr>
      </w:pPr>
      <w:r>
        <w:t xml:space="preserve">Two</w:t>
      </w:r>
    </w:p>
    <w:p>
      <w:pPr>
        <w:pStyle w:val="ExampleStyle"/>
      </w:pPr>
      <w:r>
        <w:t xml:space="preserve">An example</w:t>
      </w:r>
    </w:p>
    <w:p>
      <w:pPr>
        <w:pStyle w:val="BodyText"/>
      </w:pPr>
    </w:p>
    <w:bookmarkStart w:id="20" w:name="sol:sol1"/>
    <w:p>
      <w:pPr>
        <w:pStyle w:val="Proof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Solution 2.1: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One</w:t>
      </w:r>
    </w:p>
    <w:p>
      <w:pPr>
        <w:pStyle w:val="Compact"/>
        <w:numPr>
          <w:ilvl w:val="0"/>
          <w:numId w:val="1012"/>
        </w:numPr>
      </w:pPr>
      <w:r>
        <w:t xml:space="preserve">Two</w:t>
      </w:r>
    </w:p>
    <w:p>
      <w:pPr>
        <w:pStyle w:val="ProofStyle"/>
      </w:pPr>
      <w:r>
        <w:t xml:space="preserve">You can create new theorem types</w:t>
      </w:r>
    </w:p>
    <w:bookmarkEnd w:id="20"/>
    <w:p>
      <w:pPr>
        <w:pStyle w:val="BodyText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Exercises: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One</w:t>
      </w:r>
    </w:p>
    <w:p>
      <w:pPr>
        <w:pStyle w:val="Compact"/>
        <w:numPr>
          <w:ilvl w:val="0"/>
          <w:numId w:val="1013"/>
        </w:numPr>
      </w:pPr>
      <w:r>
        <w:t xml:space="preserve">Two</w:t>
      </w:r>
    </w:p>
    <w:p>
      <w:pPr>
        <w:pStyle w:val="ExampleStyle"/>
      </w:pPr>
      <w:r>
        <w:t xml:space="preserve">Here is a question</w:t>
      </w:r>
    </w:p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Solution.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4"/>
        </w:numPr>
      </w:pPr>
      <w:r>
        <w:t xml:space="preserve">One</w:t>
      </w:r>
    </w:p>
    <w:p>
      <w:pPr>
        <w:pStyle w:val="Compact"/>
        <w:numPr>
          <w:ilvl w:val="0"/>
          <w:numId w:val="1014"/>
        </w:numPr>
      </w:pPr>
      <w:r>
        <w:t xml:space="preserve">Two</w:t>
      </w:r>
    </w:p>
    <w:p>
      <w:pPr>
        <w:pStyle w:val="ProofStyle"/>
      </w:pPr>
      <w:r>
        <w:t xml:space="preserve">Test</w:t>
      </w:r>
    </w:p>
    <w:bookmarkEnd w:id="21"/>
    <w:bookmarkStart w:id="26" w:name="testing-the-reference-link-back"/>
    <w:p>
      <w:pPr>
        <w:pStyle w:val="Heading1"/>
      </w:pPr>
      <w:r>
        <w:t xml:space="preserve">Testing the reference link back</w:t>
      </w:r>
    </w:p>
    <w:p>
      <w:pPr>
        <w:pStyle w:val="FirstParagraph"/>
      </w:pPr>
      <w:r>
        <w:t xml:space="preserve">Now go to theorem</w:t>
      </w:r>
      <w:r>
        <w:t xml:space="preserve"> </w:t>
      </w:r>
      <w:r>
        <w:t xml:space="preserve">2.1</w:t>
      </w:r>
      <w:r>
        <w:t xml:space="preserve"> </w:t>
      </w:r>
      <w:r>
        <w:t xml:space="preserve">or thought</w:t>
      </w:r>
      <w:r>
        <w:t xml:space="preserve"> </w:t>
      </w:r>
      <w:r>
        <w:t xml:space="preserve">2.1</w:t>
      </w:r>
    </w:p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Solution.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One</w:t>
      </w:r>
    </w:p>
    <w:p>
      <w:pPr>
        <w:pStyle w:val="Compact"/>
        <w:numPr>
          <w:ilvl w:val="0"/>
          <w:numId w:val="1015"/>
        </w:numPr>
      </w:pPr>
      <w:r>
        <w:t xml:space="preserve">Two</w:t>
      </w:r>
    </w:p>
    <w:p>
      <w:pPr>
        <w:pStyle w:val="ProofStyle"/>
      </w:pPr>
      <w:r>
        <w:t xml:space="preserve">Test</w:t>
      </w:r>
    </w:p>
    <w:p>
      <w:pPr>
        <w:pStyle w:val="BodyText"/>
      </w:pPr>
    </w:p>
    <w:bookmarkStart w:id="23" w:name="def:truth"/>
    <w:p>
      <w:pPr>
        <w:pStyle w:val="DefinitionStyle"/>
      </w:pPr>
      <w:bookmarkStart w:id="22" w:name="def:truth"/>
      <w:bookmarkEnd w:id="22"/>
      <w:r>
        <w:rPr>
          <w:rStyle w:val="NameStyle"/>
        </w:rPr>
        <w:t xml:space="preserve">Definition 2.1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One</w:t>
      </w:r>
    </w:p>
    <w:p>
      <w:pPr>
        <w:pStyle w:val="Compact"/>
        <w:numPr>
          <w:ilvl w:val="0"/>
          <w:numId w:val="1016"/>
        </w:numPr>
      </w:pPr>
      <w:r>
        <w:t xml:space="preserve">Two</w:t>
      </w:r>
    </w:p>
    <w:p>
      <w:pPr>
        <w:pStyle w:val="DefinitionStyle"/>
      </w:pPr>
      <w:r>
        <w:t xml:space="preserve">Here is a definition.</w:t>
      </w:r>
    </w:p>
    <w:bookmarkEnd w:id="23"/>
    <w:p>
      <w:pPr>
        <w:pStyle w:val="BodyText"/>
      </w:pPr>
    </w:p>
    <w:bookmarkStart w:id="24" w:name="tho:tho1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Thought 2.1: (Bar of</w:t>
      </w:r>
      <w:r>
        <w:rPr>
          <w:rStyle w:val="NameStyle"/>
        </w:rPr>
        <w:t xml:space="preserve"> </w:t>
      </w:r>
      <w:r>
        <w:rPr>
          <w:rStyle w:val="NameStyle"/>
        </w:rPr>
        <w:t xml:space="preserve">2.1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One</w:t>
      </w:r>
    </w:p>
    <w:p>
      <w:pPr>
        <w:pStyle w:val="Compact"/>
        <w:numPr>
          <w:ilvl w:val="0"/>
          <w:numId w:val="1017"/>
        </w:numPr>
      </w:pPr>
      <w:r>
        <w:t xml:space="preserve">Two</w:t>
      </w:r>
    </w:p>
    <w:p>
      <w:pPr>
        <w:pStyle w:val="TheoremStyleUpright"/>
      </w:pPr>
      <w:r>
        <w:t xml:space="preserve">You can create new theorem types</w:t>
      </w:r>
    </w:p>
    <w:bookmarkEnd w:id="24"/>
    <w:p>
      <w:pPr>
        <w:pStyle w:val="BodyText"/>
      </w:pPr>
      <w:r>
        <w:t xml:space="preserve">Now an actual new thing:</w:t>
      </w:r>
      <w:r>
        <w:t xml:space="preserve"> </w:t>
      </w:r>
    </w:p>
    <w:bookmarkStart w:id="25" w:name="tho:tho2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Thought 3.1:</w:t>
      </w:r>
      <w:r>
        <w:rPr>
          <w:rStyle w:val="NameStyle"/>
        </w:rPr>
        <w:t xml:space="preserve"> </w:t>
      </w:r>
    </w:p>
    <w:p>
      <w:pPr>
        <w:pStyle w:val="Compact"/>
        <w:numPr>
          <w:ilvl w:val="0"/>
          <w:numId w:val="1018"/>
        </w:numPr>
      </w:pPr>
      <w:r>
        <w:t xml:space="preserve">One</w:t>
      </w:r>
    </w:p>
    <w:p>
      <w:pPr>
        <w:pStyle w:val="Compact"/>
        <w:numPr>
          <w:ilvl w:val="0"/>
          <w:numId w:val="1018"/>
        </w:numPr>
      </w:pPr>
      <w:r>
        <w:t xml:space="preserve">Two</w:t>
      </w:r>
    </w:p>
    <w:p>
      <w:pPr>
        <w:pStyle w:val="TheoremStyleUpright"/>
      </w:pPr>
      <w:r>
        <w:t xml:space="preserve">Stuff and nonsense</w:t>
      </w:r>
    </w:p>
    <w:bookmarkEnd w:id="25"/>
    <w:bookmarkEnd w:id="26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013: New theorems, numbering and styles with lists immediately inside and a newline present in clear and large</dc:title>
  <dc:creator>Emma Cliffe, Skills Centre: MASH, University of Bath</dc:creator>
  <cp:keywords/>
  <dcterms:created xsi:type="dcterms:W3CDTF">2026-09-11T21:52:02Z</dcterms:created>
  <dcterms:modified xsi:type="dcterms:W3CDTF">2026-09-11T21:52:02Z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September 2022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header-includes">
    <vt:lpwstr/>
  </property>
  <property fmtid="{D5CDD505-2E9C-101B-9397-08002B2CF9AE}" pid="8" name="language">
    <vt:lpwstr>en</vt:lpwstr>
  </property>
  <property fmtid="{D5CDD505-2E9C-101B-9397-08002B2CF9AE}" pid="9" name="output">
    <vt:lpwstr/>
  </property>
  <property fmtid="{D5CDD505-2E9C-101B-9397-08002B2CF9AE}" pid="10" name="site">
    <vt:lpwstr>bookdown::bookdown_site</vt:lpwstr>
  </property>
</Properties>
</file>