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2F2D0" w14:textId="13CCCEE7" w:rsidR="00D75A98" w:rsidRDefault="0090446A">
      <w:pPr>
        <w:pStyle w:val="Heading1"/>
      </w:pPr>
      <w:bookmarkStart w:id="0" w:name="_11wolrr5hq0s" w:colFirst="0" w:colLast="0"/>
      <w:bookmarkStart w:id="1" w:name="_Toc79504009"/>
      <w:bookmarkEnd w:id="0"/>
      <w:r>
        <w:t>For Managers: Dyscalculia</w:t>
      </w:r>
      <w:bookmarkEnd w:id="1"/>
    </w:p>
    <w:p w14:paraId="2E19E82C" w14:textId="77777777" w:rsidR="00D75A98" w:rsidRDefault="0090446A">
      <w:pPr>
        <w:pStyle w:val="Heading2"/>
      </w:pPr>
      <w:bookmarkStart w:id="2" w:name="_r4stkl42o3bp" w:colFirst="0" w:colLast="0"/>
      <w:bookmarkStart w:id="3" w:name="_Toc79504010"/>
      <w:bookmarkEnd w:id="2"/>
      <w:r>
        <w:t>Further introduction</w:t>
      </w:r>
      <w:bookmarkEnd w:id="3"/>
    </w:p>
    <w:p w14:paraId="32ECB092" w14:textId="77777777" w:rsidR="00D75A98" w:rsidRDefault="0090446A">
      <w:pPr>
        <w:rPr>
          <w:highlight w:val="white"/>
        </w:rPr>
      </w:pPr>
      <w:r>
        <w:t xml:space="preserve">‘Dyscalculia is </w:t>
      </w:r>
      <w:r>
        <w:rPr>
          <w:highlight w:val="white"/>
        </w:rPr>
        <w:t>a condition that affects the ability to acquire arithmetical skills. Dyscalculic learners may have a difficulty understanding simple number concepts, lack an intuitive grasp of numbers, and have problems learning number facts and procedures. Even if they produce a correct answer or use a correct method, they may do so mechanically and without confidence’. (DfES, 2001).</w:t>
      </w:r>
    </w:p>
    <w:p w14:paraId="3D3EA54C" w14:textId="35A048E0" w:rsidR="00D75A98" w:rsidRDefault="0090446A">
      <w:r>
        <w:t>A dyscalculic student will have fundamental difficulties with number sense, number facts and calculation, and difficulties with mathematical reasoning and difficulties applying mathematical concepts, facts, or procedures to solve quantitative problems.</w:t>
      </w:r>
    </w:p>
    <w:sdt>
      <w:sdtPr>
        <w:rPr>
          <w:rFonts w:ascii="Arial" w:eastAsia="Arial" w:hAnsi="Arial" w:cs="Arial"/>
          <w:color w:val="auto"/>
          <w:sz w:val="24"/>
          <w:szCs w:val="24"/>
          <w:lang w:val="en-GB" w:eastAsia="en-GB"/>
        </w:rPr>
        <w:id w:val="-432821665"/>
        <w:docPartObj>
          <w:docPartGallery w:val="Table of Contents"/>
          <w:docPartUnique/>
        </w:docPartObj>
      </w:sdtPr>
      <w:sdtEndPr>
        <w:rPr>
          <w:b/>
          <w:bCs/>
          <w:noProof/>
        </w:rPr>
      </w:sdtEndPr>
      <w:sdtContent>
        <w:p w14:paraId="7C0A61F3" w14:textId="085EA86C" w:rsidR="00544751" w:rsidRDefault="00544751">
          <w:pPr>
            <w:pStyle w:val="TOCHeading"/>
          </w:pPr>
          <w:r>
            <w:t>Contents</w:t>
          </w:r>
        </w:p>
        <w:p w14:paraId="07950E8C" w14:textId="7E02493F" w:rsidR="00544751" w:rsidRDefault="00544751">
          <w:pPr>
            <w:pStyle w:val="TOC1"/>
            <w:tabs>
              <w:tab w:val="right" w:leader="dot" w:pos="9736"/>
            </w:tabs>
            <w:rPr>
              <w:noProof/>
            </w:rPr>
          </w:pPr>
          <w:r>
            <w:fldChar w:fldCharType="begin"/>
          </w:r>
          <w:r>
            <w:instrText xml:space="preserve"> TOC \o "1-3" \h \z \u </w:instrText>
          </w:r>
          <w:r>
            <w:fldChar w:fldCharType="separate"/>
          </w:r>
          <w:hyperlink w:anchor="_Toc79504009" w:history="1">
            <w:r w:rsidRPr="0003709B">
              <w:rPr>
                <w:rStyle w:val="Hyperlink"/>
                <w:noProof/>
              </w:rPr>
              <w:t>For Managers: Dyscalculia</w:t>
            </w:r>
            <w:r>
              <w:rPr>
                <w:noProof/>
                <w:webHidden/>
              </w:rPr>
              <w:tab/>
            </w:r>
            <w:r>
              <w:rPr>
                <w:noProof/>
                <w:webHidden/>
              </w:rPr>
              <w:fldChar w:fldCharType="begin"/>
            </w:r>
            <w:r>
              <w:rPr>
                <w:noProof/>
                <w:webHidden/>
              </w:rPr>
              <w:instrText xml:space="preserve"> PAGEREF _Toc79504009 \h </w:instrText>
            </w:r>
            <w:r>
              <w:rPr>
                <w:noProof/>
                <w:webHidden/>
              </w:rPr>
            </w:r>
            <w:r>
              <w:rPr>
                <w:noProof/>
                <w:webHidden/>
              </w:rPr>
              <w:fldChar w:fldCharType="separate"/>
            </w:r>
            <w:r w:rsidR="00573814">
              <w:rPr>
                <w:noProof/>
                <w:webHidden/>
              </w:rPr>
              <w:t>1</w:t>
            </w:r>
            <w:r>
              <w:rPr>
                <w:noProof/>
                <w:webHidden/>
              </w:rPr>
              <w:fldChar w:fldCharType="end"/>
            </w:r>
          </w:hyperlink>
        </w:p>
        <w:p w14:paraId="7C5BBC04" w14:textId="66E0FE51" w:rsidR="00544751" w:rsidRDefault="00573814">
          <w:pPr>
            <w:pStyle w:val="TOC2"/>
            <w:tabs>
              <w:tab w:val="right" w:leader="dot" w:pos="9736"/>
            </w:tabs>
            <w:rPr>
              <w:noProof/>
            </w:rPr>
          </w:pPr>
          <w:hyperlink w:anchor="_Toc79504010" w:history="1">
            <w:r w:rsidR="00544751" w:rsidRPr="0003709B">
              <w:rPr>
                <w:rStyle w:val="Hyperlink"/>
                <w:noProof/>
              </w:rPr>
              <w:t>Further introduction</w:t>
            </w:r>
            <w:r w:rsidR="00544751">
              <w:rPr>
                <w:noProof/>
                <w:webHidden/>
              </w:rPr>
              <w:tab/>
            </w:r>
            <w:r w:rsidR="00544751">
              <w:rPr>
                <w:noProof/>
                <w:webHidden/>
              </w:rPr>
              <w:fldChar w:fldCharType="begin"/>
            </w:r>
            <w:r w:rsidR="00544751">
              <w:rPr>
                <w:noProof/>
                <w:webHidden/>
              </w:rPr>
              <w:instrText xml:space="preserve"> PAGEREF _Toc79504010 \h </w:instrText>
            </w:r>
            <w:r w:rsidR="00544751">
              <w:rPr>
                <w:noProof/>
                <w:webHidden/>
              </w:rPr>
            </w:r>
            <w:r w:rsidR="00544751">
              <w:rPr>
                <w:noProof/>
                <w:webHidden/>
              </w:rPr>
              <w:fldChar w:fldCharType="separate"/>
            </w:r>
            <w:r>
              <w:rPr>
                <w:noProof/>
                <w:webHidden/>
              </w:rPr>
              <w:t>1</w:t>
            </w:r>
            <w:r w:rsidR="00544751">
              <w:rPr>
                <w:noProof/>
                <w:webHidden/>
              </w:rPr>
              <w:fldChar w:fldCharType="end"/>
            </w:r>
          </w:hyperlink>
        </w:p>
        <w:p w14:paraId="6648D744" w14:textId="1266DA02" w:rsidR="00544751" w:rsidRDefault="00573814">
          <w:pPr>
            <w:pStyle w:val="TOC2"/>
            <w:tabs>
              <w:tab w:val="right" w:leader="dot" w:pos="9736"/>
            </w:tabs>
            <w:rPr>
              <w:noProof/>
            </w:rPr>
          </w:pPr>
          <w:hyperlink w:anchor="_Toc79504011" w:history="1">
            <w:r w:rsidR="00544751" w:rsidRPr="0003709B">
              <w:rPr>
                <w:rStyle w:val="Hyperlink"/>
                <w:noProof/>
              </w:rPr>
              <w:t>Recommended provision</w:t>
            </w:r>
            <w:r w:rsidR="00544751">
              <w:rPr>
                <w:noProof/>
                <w:webHidden/>
              </w:rPr>
              <w:tab/>
            </w:r>
            <w:r w:rsidR="00544751">
              <w:rPr>
                <w:noProof/>
                <w:webHidden/>
              </w:rPr>
              <w:fldChar w:fldCharType="begin"/>
            </w:r>
            <w:r w:rsidR="00544751">
              <w:rPr>
                <w:noProof/>
                <w:webHidden/>
              </w:rPr>
              <w:instrText xml:space="preserve"> PAGEREF _Toc79504011 \h </w:instrText>
            </w:r>
            <w:r w:rsidR="00544751">
              <w:rPr>
                <w:noProof/>
                <w:webHidden/>
              </w:rPr>
            </w:r>
            <w:r w:rsidR="00544751">
              <w:rPr>
                <w:noProof/>
                <w:webHidden/>
              </w:rPr>
              <w:fldChar w:fldCharType="separate"/>
            </w:r>
            <w:r>
              <w:rPr>
                <w:noProof/>
                <w:webHidden/>
              </w:rPr>
              <w:t>1</w:t>
            </w:r>
            <w:r w:rsidR="00544751">
              <w:rPr>
                <w:noProof/>
                <w:webHidden/>
              </w:rPr>
              <w:fldChar w:fldCharType="end"/>
            </w:r>
          </w:hyperlink>
        </w:p>
        <w:p w14:paraId="1377489D" w14:textId="66862F48" w:rsidR="00544751" w:rsidRDefault="00573814">
          <w:pPr>
            <w:pStyle w:val="TOC3"/>
            <w:tabs>
              <w:tab w:val="right" w:leader="dot" w:pos="9736"/>
            </w:tabs>
            <w:rPr>
              <w:noProof/>
            </w:rPr>
          </w:pPr>
          <w:hyperlink w:anchor="_Toc79504012" w:history="1">
            <w:r w:rsidR="00544751" w:rsidRPr="0003709B">
              <w:rPr>
                <w:rStyle w:val="Hyperlink"/>
                <w:noProof/>
              </w:rPr>
              <w:t>Equipment and software</w:t>
            </w:r>
            <w:r w:rsidR="00544751">
              <w:rPr>
                <w:noProof/>
                <w:webHidden/>
              </w:rPr>
              <w:tab/>
            </w:r>
            <w:r w:rsidR="00544751">
              <w:rPr>
                <w:noProof/>
                <w:webHidden/>
              </w:rPr>
              <w:fldChar w:fldCharType="begin"/>
            </w:r>
            <w:r w:rsidR="00544751">
              <w:rPr>
                <w:noProof/>
                <w:webHidden/>
              </w:rPr>
              <w:instrText xml:space="preserve"> PAGEREF _Toc79504012 \h </w:instrText>
            </w:r>
            <w:r w:rsidR="00544751">
              <w:rPr>
                <w:noProof/>
                <w:webHidden/>
              </w:rPr>
            </w:r>
            <w:r w:rsidR="00544751">
              <w:rPr>
                <w:noProof/>
                <w:webHidden/>
              </w:rPr>
              <w:fldChar w:fldCharType="separate"/>
            </w:r>
            <w:r>
              <w:rPr>
                <w:noProof/>
                <w:webHidden/>
              </w:rPr>
              <w:t>1</w:t>
            </w:r>
            <w:r w:rsidR="00544751">
              <w:rPr>
                <w:noProof/>
                <w:webHidden/>
              </w:rPr>
              <w:fldChar w:fldCharType="end"/>
            </w:r>
          </w:hyperlink>
        </w:p>
        <w:p w14:paraId="62295AA4" w14:textId="19C93B1E" w:rsidR="00544751" w:rsidRDefault="00573814">
          <w:pPr>
            <w:pStyle w:val="TOC3"/>
            <w:tabs>
              <w:tab w:val="right" w:leader="dot" w:pos="9736"/>
            </w:tabs>
            <w:rPr>
              <w:noProof/>
            </w:rPr>
          </w:pPr>
          <w:hyperlink w:anchor="_Toc79504013" w:history="1">
            <w:r w:rsidR="00544751" w:rsidRPr="0003709B">
              <w:rPr>
                <w:rStyle w:val="Hyperlink"/>
                <w:noProof/>
              </w:rPr>
              <w:t>Physical learning environment</w:t>
            </w:r>
            <w:r w:rsidR="00544751">
              <w:rPr>
                <w:noProof/>
                <w:webHidden/>
              </w:rPr>
              <w:tab/>
            </w:r>
            <w:r w:rsidR="00544751">
              <w:rPr>
                <w:noProof/>
                <w:webHidden/>
              </w:rPr>
              <w:fldChar w:fldCharType="begin"/>
            </w:r>
            <w:r w:rsidR="00544751">
              <w:rPr>
                <w:noProof/>
                <w:webHidden/>
              </w:rPr>
              <w:instrText xml:space="preserve"> PAGEREF _Toc79504013 \h </w:instrText>
            </w:r>
            <w:r w:rsidR="00544751">
              <w:rPr>
                <w:noProof/>
                <w:webHidden/>
              </w:rPr>
            </w:r>
            <w:r w:rsidR="00544751">
              <w:rPr>
                <w:noProof/>
                <w:webHidden/>
              </w:rPr>
              <w:fldChar w:fldCharType="separate"/>
            </w:r>
            <w:r>
              <w:rPr>
                <w:noProof/>
                <w:webHidden/>
              </w:rPr>
              <w:t>2</w:t>
            </w:r>
            <w:r w:rsidR="00544751">
              <w:rPr>
                <w:noProof/>
                <w:webHidden/>
              </w:rPr>
              <w:fldChar w:fldCharType="end"/>
            </w:r>
          </w:hyperlink>
        </w:p>
        <w:p w14:paraId="67873AD7" w14:textId="52F5AA4E" w:rsidR="00544751" w:rsidRDefault="00573814">
          <w:pPr>
            <w:pStyle w:val="TOC3"/>
            <w:tabs>
              <w:tab w:val="right" w:leader="dot" w:pos="9736"/>
            </w:tabs>
            <w:rPr>
              <w:noProof/>
            </w:rPr>
          </w:pPr>
          <w:hyperlink w:anchor="_Toc79504014" w:history="1">
            <w:r w:rsidR="00544751" w:rsidRPr="0003709B">
              <w:rPr>
                <w:rStyle w:val="Hyperlink"/>
                <w:noProof/>
              </w:rPr>
              <w:t>Online learning environment</w:t>
            </w:r>
            <w:r w:rsidR="00544751">
              <w:rPr>
                <w:noProof/>
                <w:webHidden/>
              </w:rPr>
              <w:tab/>
            </w:r>
            <w:r w:rsidR="00544751">
              <w:rPr>
                <w:noProof/>
                <w:webHidden/>
              </w:rPr>
              <w:fldChar w:fldCharType="begin"/>
            </w:r>
            <w:r w:rsidR="00544751">
              <w:rPr>
                <w:noProof/>
                <w:webHidden/>
              </w:rPr>
              <w:instrText xml:space="preserve"> PAGEREF _Toc79504014 \h </w:instrText>
            </w:r>
            <w:r w:rsidR="00544751">
              <w:rPr>
                <w:noProof/>
                <w:webHidden/>
              </w:rPr>
            </w:r>
            <w:r w:rsidR="00544751">
              <w:rPr>
                <w:noProof/>
                <w:webHidden/>
              </w:rPr>
              <w:fldChar w:fldCharType="separate"/>
            </w:r>
            <w:r>
              <w:rPr>
                <w:noProof/>
                <w:webHidden/>
              </w:rPr>
              <w:t>2</w:t>
            </w:r>
            <w:r w:rsidR="00544751">
              <w:rPr>
                <w:noProof/>
                <w:webHidden/>
              </w:rPr>
              <w:fldChar w:fldCharType="end"/>
            </w:r>
          </w:hyperlink>
        </w:p>
        <w:p w14:paraId="49E92E36" w14:textId="6EB5EDD4" w:rsidR="00544751" w:rsidRDefault="00573814">
          <w:pPr>
            <w:pStyle w:val="TOC3"/>
            <w:tabs>
              <w:tab w:val="right" w:leader="dot" w:pos="9736"/>
            </w:tabs>
            <w:rPr>
              <w:noProof/>
            </w:rPr>
          </w:pPr>
          <w:hyperlink w:anchor="_Toc79504015" w:history="1">
            <w:r w:rsidR="00544751" w:rsidRPr="0003709B">
              <w:rPr>
                <w:rStyle w:val="Hyperlink"/>
                <w:noProof/>
              </w:rPr>
              <w:t>Additional/alternative provision</w:t>
            </w:r>
            <w:r w:rsidR="00544751">
              <w:rPr>
                <w:noProof/>
                <w:webHidden/>
              </w:rPr>
              <w:tab/>
            </w:r>
            <w:r w:rsidR="00544751">
              <w:rPr>
                <w:noProof/>
                <w:webHidden/>
              </w:rPr>
              <w:fldChar w:fldCharType="begin"/>
            </w:r>
            <w:r w:rsidR="00544751">
              <w:rPr>
                <w:noProof/>
                <w:webHidden/>
              </w:rPr>
              <w:instrText xml:space="preserve"> PAGEREF _Toc79504015 \h </w:instrText>
            </w:r>
            <w:r w:rsidR="00544751">
              <w:rPr>
                <w:noProof/>
                <w:webHidden/>
              </w:rPr>
            </w:r>
            <w:r w:rsidR="00544751">
              <w:rPr>
                <w:noProof/>
                <w:webHidden/>
              </w:rPr>
              <w:fldChar w:fldCharType="separate"/>
            </w:r>
            <w:r>
              <w:rPr>
                <w:noProof/>
                <w:webHidden/>
              </w:rPr>
              <w:t>2</w:t>
            </w:r>
            <w:r w:rsidR="00544751">
              <w:rPr>
                <w:noProof/>
                <w:webHidden/>
              </w:rPr>
              <w:fldChar w:fldCharType="end"/>
            </w:r>
          </w:hyperlink>
        </w:p>
        <w:p w14:paraId="119E9ADF" w14:textId="2C7B7DB7" w:rsidR="00544751" w:rsidRDefault="00573814">
          <w:pPr>
            <w:pStyle w:val="TOC3"/>
            <w:tabs>
              <w:tab w:val="right" w:leader="dot" w:pos="9736"/>
            </w:tabs>
            <w:rPr>
              <w:noProof/>
            </w:rPr>
          </w:pPr>
          <w:hyperlink w:anchor="_Toc79504016" w:history="1">
            <w:r w:rsidR="00544751" w:rsidRPr="0003709B">
              <w:rPr>
                <w:rStyle w:val="Hyperlink"/>
                <w:noProof/>
              </w:rPr>
              <w:t>Tutor training</w:t>
            </w:r>
            <w:r w:rsidR="00544751">
              <w:rPr>
                <w:noProof/>
                <w:webHidden/>
              </w:rPr>
              <w:tab/>
            </w:r>
            <w:r w:rsidR="00544751">
              <w:rPr>
                <w:noProof/>
                <w:webHidden/>
              </w:rPr>
              <w:fldChar w:fldCharType="begin"/>
            </w:r>
            <w:r w:rsidR="00544751">
              <w:rPr>
                <w:noProof/>
                <w:webHidden/>
              </w:rPr>
              <w:instrText xml:space="preserve"> PAGEREF _Toc79504016 \h </w:instrText>
            </w:r>
            <w:r w:rsidR="00544751">
              <w:rPr>
                <w:noProof/>
                <w:webHidden/>
              </w:rPr>
            </w:r>
            <w:r w:rsidR="00544751">
              <w:rPr>
                <w:noProof/>
                <w:webHidden/>
              </w:rPr>
              <w:fldChar w:fldCharType="separate"/>
            </w:r>
            <w:r>
              <w:rPr>
                <w:noProof/>
                <w:webHidden/>
              </w:rPr>
              <w:t>2</w:t>
            </w:r>
            <w:r w:rsidR="00544751">
              <w:rPr>
                <w:noProof/>
                <w:webHidden/>
              </w:rPr>
              <w:fldChar w:fldCharType="end"/>
            </w:r>
          </w:hyperlink>
        </w:p>
        <w:p w14:paraId="0CA81AE8" w14:textId="4EEF47DD" w:rsidR="00544751" w:rsidRDefault="00573814">
          <w:pPr>
            <w:pStyle w:val="TOC2"/>
            <w:tabs>
              <w:tab w:val="right" w:leader="dot" w:pos="9736"/>
            </w:tabs>
            <w:rPr>
              <w:noProof/>
            </w:rPr>
          </w:pPr>
          <w:hyperlink w:anchor="_Toc79504017" w:history="1">
            <w:r w:rsidR="00544751" w:rsidRPr="0003709B">
              <w:rPr>
                <w:rStyle w:val="Hyperlink"/>
                <w:noProof/>
              </w:rPr>
              <w:t>Working with other university services</w:t>
            </w:r>
            <w:r w:rsidR="00544751">
              <w:rPr>
                <w:noProof/>
                <w:webHidden/>
              </w:rPr>
              <w:tab/>
            </w:r>
            <w:r w:rsidR="00544751">
              <w:rPr>
                <w:noProof/>
                <w:webHidden/>
              </w:rPr>
              <w:fldChar w:fldCharType="begin"/>
            </w:r>
            <w:r w:rsidR="00544751">
              <w:rPr>
                <w:noProof/>
                <w:webHidden/>
              </w:rPr>
              <w:instrText xml:space="preserve"> PAGEREF _Toc79504017 \h </w:instrText>
            </w:r>
            <w:r w:rsidR="00544751">
              <w:rPr>
                <w:noProof/>
                <w:webHidden/>
              </w:rPr>
            </w:r>
            <w:r w:rsidR="00544751">
              <w:rPr>
                <w:noProof/>
                <w:webHidden/>
              </w:rPr>
              <w:fldChar w:fldCharType="separate"/>
            </w:r>
            <w:r>
              <w:rPr>
                <w:noProof/>
                <w:webHidden/>
              </w:rPr>
              <w:t>2</w:t>
            </w:r>
            <w:r w:rsidR="00544751">
              <w:rPr>
                <w:noProof/>
                <w:webHidden/>
              </w:rPr>
              <w:fldChar w:fldCharType="end"/>
            </w:r>
          </w:hyperlink>
        </w:p>
        <w:p w14:paraId="281CEB1C" w14:textId="6ACCB28A" w:rsidR="00544751" w:rsidRDefault="00573814">
          <w:pPr>
            <w:pStyle w:val="TOC2"/>
            <w:tabs>
              <w:tab w:val="right" w:leader="dot" w:pos="9736"/>
            </w:tabs>
            <w:rPr>
              <w:noProof/>
            </w:rPr>
          </w:pPr>
          <w:hyperlink w:anchor="_Toc79504018" w:history="1">
            <w:r w:rsidR="00544751" w:rsidRPr="0003709B">
              <w:rPr>
                <w:rStyle w:val="Hyperlink"/>
                <w:noProof/>
              </w:rPr>
              <w:t>Recommend reading</w:t>
            </w:r>
            <w:r w:rsidR="00544751">
              <w:rPr>
                <w:noProof/>
                <w:webHidden/>
              </w:rPr>
              <w:tab/>
            </w:r>
            <w:r w:rsidR="00544751">
              <w:rPr>
                <w:noProof/>
                <w:webHidden/>
              </w:rPr>
              <w:fldChar w:fldCharType="begin"/>
            </w:r>
            <w:r w:rsidR="00544751">
              <w:rPr>
                <w:noProof/>
                <w:webHidden/>
              </w:rPr>
              <w:instrText xml:space="preserve"> PAGEREF _Toc79504018 \h </w:instrText>
            </w:r>
            <w:r w:rsidR="00544751">
              <w:rPr>
                <w:noProof/>
                <w:webHidden/>
              </w:rPr>
            </w:r>
            <w:r w:rsidR="00544751">
              <w:rPr>
                <w:noProof/>
                <w:webHidden/>
              </w:rPr>
              <w:fldChar w:fldCharType="separate"/>
            </w:r>
            <w:r>
              <w:rPr>
                <w:noProof/>
                <w:webHidden/>
              </w:rPr>
              <w:t>2</w:t>
            </w:r>
            <w:r w:rsidR="00544751">
              <w:rPr>
                <w:noProof/>
                <w:webHidden/>
              </w:rPr>
              <w:fldChar w:fldCharType="end"/>
            </w:r>
          </w:hyperlink>
        </w:p>
        <w:p w14:paraId="355C9280" w14:textId="262F871A" w:rsidR="00544751" w:rsidRDefault="00544751">
          <w:r>
            <w:rPr>
              <w:b/>
              <w:bCs/>
              <w:noProof/>
            </w:rPr>
            <w:fldChar w:fldCharType="end"/>
          </w:r>
        </w:p>
      </w:sdtContent>
    </w:sdt>
    <w:p w14:paraId="2758250C" w14:textId="77777777" w:rsidR="00D75A98" w:rsidRDefault="0090446A">
      <w:pPr>
        <w:pStyle w:val="Heading2"/>
      </w:pPr>
      <w:bookmarkStart w:id="4" w:name="_ir6fvxwohrgi" w:colFirst="0" w:colLast="0"/>
      <w:bookmarkStart w:id="5" w:name="_Toc79504011"/>
      <w:bookmarkEnd w:id="4"/>
      <w:r>
        <w:t>Recommended provision</w:t>
      </w:r>
      <w:bookmarkEnd w:id="5"/>
    </w:p>
    <w:p w14:paraId="7B9203A4" w14:textId="77777777" w:rsidR="00D75A98" w:rsidRDefault="0090446A">
      <w:pPr>
        <w:pStyle w:val="Heading3"/>
      </w:pPr>
      <w:bookmarkStart w:id="6" w:name="_hpsi56br6lmw" w:colFirst="0" w:colLast="0"/>
      <w:bookmarkStart w:id="7" w:name="_Toc79504012"/>
      <w:bookmarkEnd w:id="6"/>
      <w:r>
        <w:t>Equipment and software</w:t>
      </w:r>
      <w:bookmarkEnd w:id="7"/>
    </w:p>
    <w:p w14:paraId="2BA292F4" w14:textId="77777777" w:rsidR="00D75A98" w:rsidRDefault="0090446A">
      <w:r>
        <w:t>It is recommended that you have the following equipment available for helping students with dyscalculia:</w:t>
      </w:r>
    </w:p>
    <w:p w14:paraId="16EC7588" w14:textId="77777777" w:rsidR="00D75A98" w:rsidRDefault="0090446A">
      <w:pPr>
        <w:numPr>
          <w:ilvl w:val="0"/>
          <w:numId w:val="1"/>
        </w:numPr>
        <w:spacing w:after="0"/>
      </w:pPr>
      <w:r>
        <w:t>Highlighters</w:t>
      </w:r>
    </w:p>
    <w:p w14:paraId="0865A28C" w14:textId="77777777" w:rsidR="00D75A98" w:rsidRDefault="0090446A">
      <w:pPr>
        <w:numPr>
          <w:ilvl w:val="0"/>
          <w:numId w:val="1"/>
        </w:numPr>
        <w:spacing w:after="0"/>
      </w:pPr>
      <w:r>
        <w:t>Coloured paper</w:t>
      </w:r>
    </w:p>
    <w:p w14:paraId="3E199AEB" w14:textId="77777777" w:rsidR="00D75A98" w:rsidRDefault="0090446A">
      <w:pPr>
        <w:numPr>
          <w:ilvl w:val="0"/>
          <w:numId w:val="1"/>
        </w:numPr>
        <w:spacing w:after="0"/>
      </w:pPr>
      <w:r>
        <w:t>Squared paper</w:t>
      </w:r>
    </w:p>
    <w:p w14:paraId="7758FCD7" w14:textId="77777777" w:rsidR="00D75A98" w:rsidRDefault="0090446A">
      <w:pPr>
        <w:numPr>
          <w:ilvl w:val="0"/>
          <w:numId w:val="1"/>
        </w:numPr>
        <w:spacing w:after="0"/>
      </w:pPr>
      <w:r>
        <w:t>Post-its</w:t>
      </w:r>
    </w:p>
    <w:p w14:paraId="2BE8AB49" w14:textId="77777777" w:rsidR="00D75A98" w:rsidRDefault="0090446A">
      <w:pPr>
        <w:numPr>
          <w:ilvl w:val="0"/>
          <w:numId w:val="1"/>
        </w:numPr>
        <w:spacing w:after="0"/>
      </w:pPr>
      <w:r>
        <w:t>2-line calculators (which display input and output)</w:t>
      </w:r>
    </w:p>
    <w:p w14:paraId="17FFC7A5" w14:textId="77777777" w:rsidR="00D75A98" w:rsidRDefault="0090446A">
      <w:pPr>
        <w:numPr>
          <w:ilvl w:val="0"/>
          <w:numId w:val="3"/>
        </w:numPr>
        <w:spacing w:after="0"/>
      </w:pPr>
      <w:r>
        <w:t>Talking calculators</w:t>
      </w:r>
    </w:p>
    <w:p w14:paraId="4A9ABA4A" w14:textId="77777777" w:rsidR="00D75A98" w:rsidRDefault="0090446A">
      <w:pPr>
        <w:numPr>
          <w:ilvl w:val="0"/>
          <w:numId w:val="3"/>
        </w:numPr>
        <w:spacing w:after="0"/>
      </w:pPr>
      <w:r>
        <w:t>Teaching Clock</w:t>
      </w:r>
    </w:p>
    <w:p w14:paraId="2CE98F50" w14:textId="77777777" w:rsidR="00D75A98" w:rsidRDefault="0090446A">
      <w:pPr>
        <w:numPr>
          <w:ilvl w:val="0"/>
          <w:numId w:val="3"/>
        </w:numPr>
        <w:spacing w:after="0"/>
      </w:pPr>
      <w:r>
        <w:t>Concrete manipulatives; e.g. Cuisinaire rods, Deines Blocks, money.</w:t>
      </w:r>
    </w:p>
    <w:p w14:paraId="172BAF28" w14:textId="77777777" w:rsidR="00D75A98" w:rsidRDefault="0090446A">
      <w:pPr>
        <w:numPr>
          <w:ilvl w:val="0"/>
          <w:numId w:val="3"/>
        </w:numPr>
        <w:spacing w:after="0"/>
      </w:pPr>
      <w:r>
        <w:t>Flash cards and fraction mats.</w:t>
      </w:r>
    </w:p>
    <w:p w14:paraId="01EB42C3" w14:textId="17C32DC8" w:rsidR="00D75A98" w:rsidRDefault="0090446A">
      <w:pPr>
        <w:numPr>
          <w:ilvl w:val="0"/>
          <w:numId w:val="3"/>
        </w:numPr>
      </w:pPr>
      <w:r>
        <w:t xml:space="preserve">Multiplication, trigonometry, engineering </w:t>
      </w:r>
      <w:r w:rsidR="00544751">
        <w:t>paper-based</w:t>
      </w:r>
      <w:r>
        <w:t xml:space="preserve"> tables and diagrams.</w:t>
      </w:r>
    </w:p>
    <w:p w14:paraId="396CF347" w14:textId="77777777" w:rsidR="00D75A98" w:rsidRDefault="0090446A">
      <w:pPr>
        <w:pStyle w:val="Heading3"/>
      </w:pPr>
      <w:bookmarkStart w:id="8" w:name="_lpp4jyt2u0wm" w:colFirst="0" w:colLast="0"/>
      <w:bookmarkStart w:id="9" w:name="_Toc79504013"/>
      <w:bookmarkEnd w:id="8"/>
      <w:r>
        <w:lastRenderedPageBreak/>
        <w:t>Physical learning environment</w:t>
      </w:r>
      <w:bookmarkEnd w:id="9"/>
    </w:p>
    <w:p w14:paraId="23BDCCBB" w14:textId="25DED501" w:rsidR="00D75A98" w:rsidRDefault="0090446A">
      <w:r>
        <w:t xml:space="preserve">A quiet workspace free from distraction is essential. A </w:t>
      </w:r>
      <w:r w:rsidR="00544751">
        <w:t>one-to-one</w:t>
      </w:r>
      <w:r>
        <w:t xml:space="preserve"> workspace helps to reduce maths anxiety. Be aware that students will feel uncomfortable discussing maths and their difficulties in public.</w:t>
      </w:r>
    </w:p>
    <w:p w14:paraId="4363D58F" w14:textId="77777777" w:rsidR="00D75A98" w:rsidRDefault="0090446A">
      <w:pPr>
        <w:pStyle w:val="Heading3"/>
      </w:pPr>
      <w:bookmarkStart w:id="10" w:name="_obgymsm7a15y" w:colFirst="0" w:colLast="0"/>
      <w:bookmarkStart w:id="11" w:name="_Toc79504014"/>
      <w:bookmarkEnd w:id="10"/>
      <w:r>
        <w:t>Online learning environment</w:t>
      </w:r>
      <w:bookmarkEnd w:id="11"/>
    </w:p>
    <w:p w14:paraId="5AA7C4ED" w14:textId="77777777" w:rsidR="00544751" w:rsidRDefault="00544751" w:rsidP="00BA78BE">
      <w:pPr>
        <w:rPr>
          <w:b/>
        </w:rPr>
      </w:pPr>
      <w:bookmarkStart w:id="12" w:name="_3vij36bwcuvk" w:colFirst="0" w:colLast="0"/>
      <w:bookmarkStart w:id="13" w:name="_Toc79504015"/>
      <w:bookmarkEnd w:id="12"/>
      <w:r w:rsidRPr="00544751">
        <w:t xml:space="preserve">Provide documents in a format which can be transformed to meet the reader’s needs and which can be read aloud and colour annotated, including the equations. Accessible Word documents and accessible web pages are best. Provide materials in a choice of formats, e.g. the same concept explained in video, via interactive example and in text. </w:t>
      </w:r>
    </w:p>
    <w:p w14:paraId="3EE9F112" w14:textId="6D98956D" w:rsidR="00544751" w:rsidRPr="00544751" w:rsidRDefault="00573814" w:rsidP="00544751">
      <w:pPr>
        <w:pStyle w:val="ListParagraph"/>
        <w:numPr>
          <w:ilvl w:val="0"/>
          <w:numId w:val="4"/>
        </w:numPr>
        <w:rPr>
          <w:b/>
        </w:rPr>
      </w:pPr>
      <w:hyperlink r:id="rId8" w:history="1">
        <w:r w:rsidR="00544751" w:rsidRPr="00801632">
          <w:rPr>
            <w:rStyle w:val="Hyperlink"/>
          </w:rPr>
          <w:t>https://stem-enable.github.io/Accessibility-of-maths-e-resources/</w:t>
        </w:r>
      </w:hyperlink>
      <w:r w:rsidR="00544751">
        <w:t xml:space="preserve"> </w:t>
      </w:r>
      <w:r w:rsidR="00544751" w:rsidRPr="00544751">
        <w:t xml:space="preserve"> </w:t>
      </w:r>
    </w:p>
    <w:p w14:paraId="16A97519" w14:textId="69C8296C" w:rsidR="00D75A98" w:rsidRDefault="0090446A" w:rsidP="00544751">
      <w:pPr>
        <w:pStyle w:val="Heading3"/>
      </w:pPr>
      <w:r>
        <w:t>Additional/alternative provision</w:t>
      </w:r>
      <w:bookmarkEnd w:id="13"/>
    </w:p>
    <w:p w14:paraId="7DFE0F0E" w14:textId="77777777" w:rsidR="00D75A98" w:rsidRDefault="0090446A">
      <w:r>
        <w:t xml:space="preserve">Students will achieve better outcomes when supported by a tutor on a 1:1 basis. </w:t>
      </w:r>
    </w:p>
    <w:p w14:paraId="16947729" w14:textId="77777777" w:rsidR="00D75A98" w:rsidRDefault="0090446A">
      <w:pPr>
        <w:pStyle w:val="Heading3"/>
      </w:pPr>
      <w:bookmarkStart w:id="14" w:name="_wqhyl6ea4chw" w:colFirst="0" w:colLast="0"/>
      <w:bookmarkStart w:id="15" w:name="_Toc79504016"/>
      <w:bookmarkEnd w:id="14"/>
      <w:r>
        <w:t>Tutor training</w:t>
      </w:r>
      <w:bookmarkEnd w:id="15"/>
    </w:p>
    <w:p w14:paraId="58AC2919" w14:textId="58D1F035" w:rsidR="00D75A98" w:rsidRDefault="0090446A">
      <w:r>
        <w:t>Where possible, students should work with tutors who hold a British Dyslexia Association (BDA) Approved Teacher Status qualification (ATS) in dyscalculia</w:t>
      </w:r>
      <w:r w:rsidR="00DB37CA">
        <w:t xml:space="preserve"> </w:t>
      </w:r>
      <w:r w:rsidR="00DB37CA" w:rsidRPr="00DB37CA">
        <w:t>or equivalent qualification in other countries</w:t>
      </w:r>
      <w:r>
        <w:t xml:space="preserve">. </w:t>
      </w:r>
    </w:p>
    <w:p w14:paraId="5FB18FAD" w14:textId="77777777" w:rsidR="00D75A98" w:rsidRDefault="0090446A">
      <w:r>
        <w:t xml:space="preserve">We recommend that you include a discussion on these Manager and Tutor leaflets in tutor training at your institution. Over the coming years, accessibility training will become an important feature of maths support tutor training at local and national levels. For further information on tutor training, contact your maths support network. </w:t>
      </w:r>
    </w:p>
    <w:p w14:paraId="39E1D9C2" w14:textId="77777777" w:rsidR="00D75A98" w:rsidRDefault="0090446A">
      <w:pPr>
        <w:pStyle w:val="Heading2"/>
      </w:pPr>
      <w:bookmarkStart w:id="16" w:name="_jdg11jwwkdtz" w:colFirst="0" w:colLast="0"/>
      <w:bookmarkStart w:id="17" w:name="_Toc79504017"/>
      <w:bookmarkEnd w:id="16"/>
      <w:r>
        <w:t>Working with other university services</w:t>
      </w:r>
      <w:bookmarkEnd w:id="17"/>
    </w:p>
    <w:p w14:paraId="286BAF42" w14:textId="77777777" w:rsidR="00D75A98" w:rsidRDefault="0090446A">
      <w:r>
        <w:t>It is important to know the Disability Department in your institution who can supply further details about dyscalculia.</w:t>
      </w:r>
    </w:p>
    <w:p w14:paraId="462F5144" w14:textId="77777777" w:rsidR="00D75A98" w:rsidRDefault="0090446A">
      <w:pPr>
        <w:numPr>
          <w:ilvl w:val="0"/>
          <w:numId w:val="2"/>
        </w:numPr>
      </w:pPr>
      <w:r>
        <w:t>You should have information leaflets about the Disability Department available for students in your centre and vice versa.</w:t>
      </w:r>
    </w:p>
    <w:p w14:paraId="204D72D3" w14:textId="77777777" w:rsidR="00D75A98" w:rsidRDefault="0090446A">
      <w:pPr>
        <w:numPr>
          <w:ilvl w:val="0"/>
          <w:numId w:val="2"/>
        </w:numPr>
      </w:pPr>
      <w:r>
        <w:t xml:space="preserve">The Disability Department may also be able to recommend that other students use your maths support centre. </w:t>
      </w:r>
    </w:p>
    <w:p w14:paraId="2849F8E7" w14:textId="6904C394" w:rsidR="00D75A98" w:rsidRDefault="0090446A" w:rsidP="00122599">
      <w:pPr>
        <w:numPr>
          <w:ilvl w:val="0"/>
          <w:numId w:val="2"/>
        </w:numPr>
      </w:pPr>
      <w:r>
        <w:t>If you think a student in your centre has dyscalculia, you should encourage and support the student to make contact with the relevant Disability Department in your institution.</w:t>
      </w:r>
    </w:p>
    <w:p w14:paraId="38DE6C8B" w14:textId="77777777" w:rsidR="00D75A98" w:rsidRDefault="0090446A">
      <w:pPr>
        <w:pStyle w:val="Heading2"/>
      </w:pPr>
      <w:bookmarkStart w:id="18" w:name="_cdcnidm7byv8" w:colFirst="0" w:colLast="0"/>
      <w:bookmarkStart w:id="19" w:name="_Toc79504018"/>
      <w:bookmarkEnd w:id="18"/>
      <w:r>
        <w:t>Recommend reading</w:t>
      </w:r>
      <w:bookmarkEnd w:id="19"/>
    </w:p>
    <w:p w14:paraId="47F6D3EE" w14:textId="3FA066FF" w:rsidR="00D75A98" w:rsidRDefault="0090446A">
      <w:pPr>
        <w:spacing w:before="200"/>
      </w:pPr>
      <w:r>
        <w:t xml:space="preserve">Trott, C. (2015) Dyscalculia in Higher education. In, Chinn, S. (Ed). The </w:t>
      </w:r>
      <w:r w:rsidR="00F7476F">
        <w:t>R</w:t>
      </w:r>
      <w:r>
        <w:t xml:space="preserve">outledge Handbook of Dyscalculia and Maths Learning Difficulties. Routledge. Oxon. </w:t>
      </w:r>
    </w:p>
    <w:p w14:paraId="59A05B16" w14:textId="77777777" w:rsidR="00D75A98" w:rsidRDefault="0090446A">
      <w:pPr>
        <w:spacing w:before="200"/>
      </w:pPr>
      <w:r>
        <w:t>Drew, S. (2009) Dyspraxia in Pollak D (ED) Neurodiversity in Higher Education: positive responses to specific learning difficulties, Wiley Blackwell, Chichester</w:t>
      </w:r>
    </w:p>
    <w:p w14:paraId="0116AD95" w14:textId="73F4868F" w:rsidR="00D75A98" w:rsidRDefault="0090446A">
      <w:pPr>
        <w:spacing w:before="200"/>
      </w:pPr>
      <w:r>
        <w:t>Chinn S. (2012) More Trouble with Maths. Routledge, Oxon</w:t>
      </w:r>
      <w:r w:rsidR="008069B0">
        <w:t xml:space="preserve"> </w:t>
      </w:r>
      <w:hyperlink r:id="rId9" w:history="1">
        <w:r w:rsidR="008069B0" w:rsidRPr="00801632">
          <w:rPr>
            <w:rStyle w:val="Hyperlink"/>
          </w:rPr>
          <w:t>http://www.meshguides.org/guides/node/652</w:t>
        </w:r>
      </w:hyperlink>
      <w:r w:rsidR="008069B0">
        <w:t xml:space="preserve"> </w:t>
      </w:r>
    </w:p>
    <w:p w14:paraId="5E0DE998" w14:textId="77777777" w:rsidR="00D75A98" w:rsidRDefault="00D75A98">
      <w:pPr>
        <w:spacing w:before="200"/>
      </w:pPr>
    </w:p>
    <w:sectPr w:rsidR="00D75A98" w:rsidSect="002D26E2">
      <w:headerReference w:type="default" r:id="rId10"/>
      <w:pgSz w:w="11906" w:h="16838"/>
      <w:pgMar w:top="1080" w:right="1080" w:bottom="1080" w:left="108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5882F" w14:textId="77777777" w:rsidR="002D26E2" w:rsidRDefault="002D26E2" w:rsidP="002D26E2">
      <w:pPr>
        <w:spacing w:after="0" w:line="240" w:lineRule="auto"/>
      </w:pPr>
      <w:r>
        <w:separator/>
      </w:r>
    </w:p>
  </w:endnote>
  <w:endnote w:type="continuationSeparator" w:id="0">
    <w:p w14:paraId="0C763C8E" w14:textId="77777777" w:rsidR="002D26E2" w:rsidRDefault="002D26E2" w:rsidP="002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BAE7E" w14:textId="77777777" w:rsidR="002D26E2" w:rsidRDefault="002D26E2" w:rsidP="002D26E2">
      <w:pPr>
        <w:spacing w:after="0" w:line="240" w:lineRule="auto"/>
      </w:pPr>
      <w:r>
        <w:separator/>
      </w:r>
    </w:p>
  </w:footnote>
  <w:footnote w:type="continuationSeparator" w:id="0">
    <w:p w14:paraId="40B86B14" w14:textId="77777777" w:rsidR="002D26E2" w:rsidRDefault="002D26E2" w:rsidP="002D2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B8F85" w14:textId="02F01DFE" w:rsidR="002D26E2" w:rsidRDefault="002D26E2" w:rsidP="002D26E2">
    <w:pPr>
      <w:pStyle w:val="Header"/>
      <w:jc w:val="right"/>
    </w:pPr>
    <w:r>
      <w:rPr>
        <w:noProof/>
      </w:rPr>
      <w:drawing>
        <wp:inline distT="0" distB="0" distL="0" distR="0" wp14:anchorId="50BB50F2" wp14:editId="3D1D2C2F">
          <wp:extent cx="1945472" cy="757238"/>
          <wp:effectExtent l="0" t="0" r="0" b="5080"/>
          <wp:docPr id="1" name="image1.jpg" descr="sigma network for excellence in mathematics and statistics support logo"/>
          <wp:cNvGraphicFramePr/>
          <a:graphic xmlns:a="http://schemas.openxmlformats.org/drawingml/2006/main">
            <a:graphicData uri="http://schemas.openxmlformats.org/drawingml/2006/picture">
              <pic:pic xmlns:pic="http://schemas.openxmlformats.org/drawingml/2006/picture">
                <pic:nvPicPr>
                  <pic:cNvPr id="0" name="image1.jpg" descr="sigma network for excellence in mathematics and statistics support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45472"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4234"/>
    <w:multiLevelType w:val="hybridMultilevel"/>
    <w:tmpl w:val="EA34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7C2FC3"/>
    <w:multiLevelType w:val="multilevel"/>
    <w:tmpl w:val="F01E3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F81A13"/>
    <w:multiLevelType w:val="multilevel"/>
    <w:tmpl w:val="0B1EF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3F1586"/>
    <w:multiLevelType w:val="multilevel"/>
    <w:tmpl w:val="F490E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A98"/>
    <w:rsid w:val="00122599"/>
    <w:rsid w:val="002D26E2"/>
    <w:rsid w:val="00544751"/>
    <w:rsid w:val="00573814"/>
    <w:rsid w:val="00805F7C"/>
    <w:rsid w:val="008069B0"/>
    <w:rsid w:val="0090446A"/>
    <w:rsid w:val="00BA78BE"/>
    <w:rsid w:val="00D75A98"/>
    <w:rsid w:val="00DB37CA"/>
    <w:rsid w:val="00F74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47CA"/>
  <w15:docId w15:val="{E6594A58-8E71-47F1-A2DA-8ED27CE3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26E2"/>
    <w:pPr>
      <w:keepNext/>
      <w:keepLines/>
      <w:outlineLvl w:val="0"/>
    </w:pPr>
    <w:rPr>
      <w:b/>
      <w:color w:val="073763"/>
      <w:sz w:val="32"/>
      <w:szCs w:val="32"/>
    </w:rPr>
  </w:style>
  <w:style w:type="paragraph" w:styleId="Heading2">
    <w:name w:val="heading 2"/>
    <w:basedOn w:val="Normal"/>
    <w:next w:val="Normal"/>
    <w:uiPriority w:val="9"/>
    <w:unhideWhenUsed/>
    <w:qFormat/>
    <w:rsid w:val="002D26E2"/>
    <w:pPr>
      <w:keepNext/>
      <w:keepLines/>
      <w:spacing w:before="120" w:after="0"/>
      <w:outlineLvl w:val="1"/>
    </w:pPr>
    <w:rPr>
      <w:b/>
      <w:color w:val="0B5394"/>
      <w:sz w:val="26"/>
      <w:szCs w:val="26"/>
    </w:rPr>
  </w:style>
  <w:style w:type="paragraph" w:styleId="Heading3">
    <w:name w:val="heading 3"/>
    <w:basedOn w:val="Normal"/>
    <w:next w:val="Normal"/>
    <w:uiPriority w:val="9"/>
    <w:unhideWhenUsed/>
    <w:qFormat/>
    <w:rsid w:val="002D26E2"/>
    <w:pPr>
      <w:keepNext/>
      <w:keepLines/>
      <w:spacing w:before="120"/>
      <w:outlineLvl w:val="2"/>
    </w:pPr>
    <w:rPr>
      <w:b/>
      <w:color w:val="365F91" w:themeColor="accent1" w:themeShade="BF"/>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D2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6E2"/>
  </w:style>
  <w:style w:type="paragraph" w:styleId="Footer">
    <w:name w:val="footer"/>
    <w:basedOn w:val="Normal"/>
    <w:link w:val="FooterChar"/>
    <w:uiPriority w:val="99"/>
    <w:unhideWhenUsed/>
    <w:rsid w:val="002D2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6E2"/>
  </w:style>
  <w:style w:type="paragraph" w:styleId="TOCHeading">
    <w:name w:val="TOC Heading"/>
    <w:basedOn w:val="Heading1"/>
    <w:next w:val="Normal"/>
    <w:uiPriority w:val="39"/>
    <w:unhideWhenUsed/>
    <w:qFormat/>
    <w:rsid w:val="00544751"/>
    <w:pPr>
      <w:spacing w:before="240" w:after="0"/>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544751"/>
    <w:pPr>
      <w:spacing w:after="100"/>
    </w:pPr>
  </w:style>
  <w:style w:type="paragraph" w:styleId="TOC2">
    <w:name w:val="toc 2"/>
    <w:basedOn w:val="Normal"/>
    <w:next w:val="Normal"/>
    <w:autoRedefine/>
    <w:uiPriority w:val="39"/>
    <w:unhideWhenUsed/>
    <w:rsid w:val="00544751"/>
    <w:pPr>
      <w:spacing w:after="100"/>
      <w:ind w:left="240"/>
    </w:pPr>
  </w:style>
  <w:style w:type="paragraph" w:styleId="TOC3">
    <w:name w:val="toc 3"/>
    <w:basedOn w:val="Normal"/>
    <w:next w:val="Normal"/>
    <w:autoRedefine/>
    <w:uiPriority w:val="39"/>
    <w:unhideWhenUsed/>
    <w:rsid w:val="00544751"/>
    <w:pPr>
      <w:spacing w:after="100"/>
      <w:ind w:left="480"/>
    </w:pPr>
  </w:style>
  <w:style w:type="character" w:styleId="Hyperlink">
    <w:name w:val="Hyperlink"/>
    <w:basedOn w:val="DefaultParagraphFont"/>
    <w:uiPriority w:val="99"/>
    <w:unhideWhenUsed/>
    <w:rsid w:val="00544751"/>
    <w:rPr>
      <w:color w:val="0000FF" w:themeColor="hyperlink"/>
      <w:u w:val="single"/>
    </w:rPr>
  </w:style>
  <w:style w:type="paragraph" w:styleId="ListParagraph">
    <w:name w:val="List Paragraph"/>
    <w:basedOn w:val="Normal"/>
    <w:uiPriority w:val="34"/>
    <w:qFormat/>
    <w:rsid w:val="00544751"/>
    <w:pPr>
      <w:ind w:left="720"/>
      <w:contextualSpacing/>
    </w:pPr>
  </w:style>
  <w:style w:type="character" w:styleId="UnresolvedMention">
    <w:name w:val="Unresolved Mention"/>
    <w:basedOn w:val="DefaultParagraphFont"/>
    <w:uiPriority w:val="99"/>
    <w:semiHidden/>
    <w:unhideWhenUsed/>
    <w:rsid w:val="00544751"/>
    <w:rPr>
      <w:color w:val="605E5C"/>
      <w:shd w:val="clear" w:color="auto" w:fill="E1DFDD"/>
    </w:rPr>
  </w:style>
  <w:style w:type="character" w:styleId="FollowedHyperlink">
    <w:name w:val="FollowedHyperlink"/>
    <w:basedOn w:val="DefaultParagraphFont"/>
    <w:uiPriority w:val="99"/>
    <w:semiHidden/>
    <w:unhideWhenUsed/>
    <w:rsid w:val="008069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tem-enable.github.io/Accessibility-of-maths-e-resources/"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eshguides.org/guides/node/652" TargetMode="Externa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40CC8CEA6621041BEA6F3A782D21784" ma:contentTypeVersion="6" ma:contentTypeDescription="Create a new document." ma:contentTypeScope="" ma:versionID="a69c3d24c0e5586a5fa7d5e994e1d2ff">
  <xsd:schema xmlns:xsd="http://www.w3.org/2001/XMLSchema" xmlns:xs="http://www.w3.org/2001/XMLSchema" xmlns:p="http://schemas.microsoft.com/office/2006/metadata/properties" xmlns:ns2="8e897a7e-d46f-4155-a80a-9677d6b4005c" xmlns:ns3="950db0c4-d889-4c17-93d2-163003a39542" targetNamespace="http://schemas.microsoft.com/office/2006/metadata/properties" ma:root="true" ma:fieldsID="5d85c4af29eef15b8b6b5106ce3d6b5c" ns2:_="" ns3:_="">
    <xsd:import namespace="8e897a7e-d46f-4155-a80a-9677d6b4005c"/>
    <xsd:import namespace="950db0c4-d889-4c17-93d2-163003a39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97a7e-d46f-4155-a80a-9677d6b40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db0c4-d889-4c17-93d2-163003a39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97DDE-FDA9-4907-BD97-208AC9B7AEAF}">
  <ds:schemaRefs>
    <ds:schemaRef ds:uri="http://schemas.openxmlformats.org/officeDocument/2006/bibliography"/>
  </ds:schemaRefs>
</ds:datastoreItem>
</file>

<file path=customXml/itemProps2.xml><?xml version="1.0" encoding="utf-8"?>
<ds:datastoreItem xmlns:ds="http://schemas.openxmlformats.org/officeDocument/2006/customXml" ds:itemID="{120288C3-268B-4C5F-8514-AFA2C7BB182D}"/>
</file>

<file path=customXml/itemProps3.xml><?xml version="1.0" encoding="utf-8"?>
<ds:datastoreItem xmlns:ds="http://schemas.openxmlformats.org/officeDocument/2006/customXml" ds:itemID="{AE44E7E1-BC2D-49A8-9485-7CE563CA2D28}"/>
</file>

<file path=customXml/itemProps4.xml><?xml version="1.0" encoding="utf-8"?>
<ds:datastoreItem xmlns:ds="http://schemas.openxmlformats.org/officeDocument/2006/customXml" ds:itemID="{A51741E3-F378-419F-A25E-EC0578897C4A}"/>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Cliffe</dc:creator>
  <cp:lastModifiedBy>Emma Cliffe</cp:lastModifiedBy>
  <cp:revision>7</cp:revision>
  <cp:lastPrinted>2021-09-08T17:44:00Z</cp:lastPrinted>
  <dcterms:created xsi:type="dcterms:W3CDTF">2021-08-10T15:11:00Z</dcterms:created>
  <dcterms:modified xsi:type="dcterms:W3CDTF">2021-09-08T17:45:00Z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0x010100640CC8CEA6621041BEA6F3A782D21784</vt:lpwstr>
  </property>
</Properties>
</file>