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FF76" w14:textId="0BF0AB42" w:rsidR="00B560D6" w:rsidRDefault="007515C4">
      <w:pPr>
        <w:pStyle w:val="Heading1"/>
      </w:pPr>
      <w:bookmarkStart w:id="0" w:name="_11wolrr5hq0s" w:colFirst="0" w:colLast="0"/>
      <w:bookmarkEnd w:id="0"/>
      <w:r>
        <w:t>For tutors: Dyscalculia</w:t>
      </w:r>
    </w:p>
    <w:p w14:paraId="0C5056A5" w14:textId="77777777" w:rsidR="00B560D6" w:rsidRDefault="007515C4">
      <w:pPr>
        <w:pStyle w:val="Heading2"/>
      </w:pPr>
      <w:bookmarkStart w:id="1" w:name="_r4stkl42o3bp" w:colFirst="0" w:colLast="0"/>
      <w:bookmarkEnd w:id="1"/>
      <w:r>
        <w:t>Introduction</w:t>
      </w:r>
    </w:p>
    <w:p w14:paraId="0118BD67" w14:textId="77777777" w:rsidR="00B560D6" w:rsidRDefault="007515C4">
      <w:pPr>
        <w:rPr>
          <w:sz w:val="24"/>
          <w:szCs w:val="24"/>
        </w:rPr>
      </w:pPr>
      <w:r>
        <w:rPr>
          <w:sz w:val="24"/>
          <w:szCs w:val="24"/>
        </w:rPr>
        <w:t xml:space="preserve">Dyscalculia is lifelong. It can </w:t>
      </w:r>
      <w:proofErr w:type="gramStart"/>
      <w:r>
        <w:rPr>
          <w:sz w:val="24"/>
          <w:szCs w:val="24"/>
        </w:rPr>
        <w:t>impact</w:t>
      </w:r>
      <w:proofErr w:type="gramEnd"/>
      <w:r>
        <w:rPr>
          <w:sz w:val="24"/>
          <w:szCs w:val="24"/>
        </w:rPr>
        <w:t xml:space="preserve"> on the understanding of number in a range of settings, both within education and wider life. Students with Dyscalculia may rely on procedural knowledge, with little or no conceptual understanding. They will rely on ot</w:t>
      </w:r>
      <w:r>
        <w:rPr>
          <w:sz w:val="24"/>
          <w:szCs w:val="24"/>
        </w:rPr>
        <w:t>her strengths such as memory and problem solving to access mathematics.</w:t>
      </w:r>
    </w:p>
    <w:p w14:paraId="2D26DA82" w14:textId="77777777" w:rsidR="00B560D6" w:rsidRDefault="007515C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 dyscalculic student may have some of the following </w:t>
      </w:r>
      <w:r>
        <w:rPr>
          <w:b/>
          <w:sz w:val="24"/>
          <w:szCs w:val="24"/>
        </w:rPr>
        <w:t>strengths:</w:t>
      </w:r>
    </w:p>
    <w:p w14:paraId="469968A5" w14:textId="77777777" w:rsidR="00B560D6" w:rsidRDefault="007515C4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Literacy skills</w:t>
      </w:r>
    </w:p>
    <w:p w14:paraId="065068DC" w14:textId="77777777" w:rsidR="00B560D6" w:rsidRDefault="007515C4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Good verbal skills</w:t>
      </w:r>
    </w:p>
    <w:p w14:paraId="55D372B9" w14:textId="77777777" w:rsidR="00B560D6" w:rsidRDefault="007515C4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Procedural knowledge</w:t>
      </w:r>
    </w:p>
    <w:p w14:paraId="2BE502E4" w14:textId="77777777" w:rsidR="00B560D6" w:rsidRDefault="007515C4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Resilience</w:t>
      </w:r>
    </w:p>
    <w:p w14:paraId="0BACBCF3" w14:textId="77777777" w:rsidR="00B560D6" w:rsidRDefault="007515C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 solving in real world situations</w:t>
      </w:r>
    </w:p>
    <w:p w14:paraId="7CD95AC4" w14:textId="77777777" w:rsidR="00B560D6" w:rsidRDefault="007515C4">
      <w:pPr>
        <w:pStyle w:val="Heading2"/>
      </w:pPr>
      <w:bookmarkStart w:id="2" w:name="_rblk16p83s26" w:colFirst="0" w:colLast="0"/>
      <w:bookmarkEnd w:id="2"/>
      <w:r>
        <w:t>Possible I</w:t>
      </w:r>
      <w:r>
        <w:t>mpacts on Mathematics (suggested strategies in brackets)</w:t>
      </w:r>
    </w:p>
    <w:p w14:paraId="397BFCA7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Foundational and arithmetical skills (A, B, C, D, G, H, I, J)</w:t>
      </w:r>
    </w:p>
    <w:p w14:paraId="6498586D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Insecure counting (A, B, C, G, H, I)</w:t>
      </w:r>
    </w:p>
    <w:p w14:paraId="43852B8F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Poor estimation skills (A, B, C, G)</w:t>
      </w:r>
    </w:p>
    <w:p w14:paraId="66E4DE3F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Recognising that the answer achieved is realistic (A, B, C, G, K</w:t>
      </w:r>
      <w:r>
        <w:rPr>
          <w:sz w:val="24"/>
          <w:szCs w:val="24"/>
        </w:rPr>
        <w:t>)</w:t>
      </w:r>
    </w:p>
    <w:p w14:paraId="752EF3CB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Manipulating data (A, B, C, D, F, I, J)</w:t>
      </w:r>
    </w:p>
    <w:p w14:paraId="254BBBF1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Conceptual understanding (A, B, G)</w:t>
      </w:r>
    </w:p>
    <w:p w14:paraId="6575D681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Selecting correct procedures for problems in a range of contexts (D, E, F, J, K)</w:t>
      </w:r>
    </w:p>
    <w:p w14:paraId="74B2F76A" w14:textId="77777777" w:rsidR="00B560D6" w:rsidRDefault="007515C4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Working with abstract concepts (A, B, F, G)</w:t>
      </w:r>
    </w:p>
    <w:p w14:paraId="10CA9492" w14:textId="3450680F" w:rsidR="00B560D6" w:rsidRDefault="007515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Low </w:t>
      </w:r>
      <w:r w:rsidR="006D5E18">
        <w:rPr>
          <w:sz w:val="24"/>
          <w:szCs w:val="24"/>
        </w:rPr>
        <w:t>self-efficacy</w:t>
      </w:r>
      <w:r>
        <w:rPr>
          <w:sz w:val="24"/>
          <w:szCs w:val="24"/>
        </w:rPr>
        <w:t xml:space="preserve"> and maths anxiety (See Maths Anxiety</w:t>
      </w:r>
      <w:r>
        <w:rPr>
          <w:sz w:val="24"/>
          <w:szCs w:val="24"/>
        </w:rPr>
        <w:t xml:space="preserve"> Leaflet)</w:t>
      </w:r>
    </w:p>
    <w:p w14:paraId="46B270A4" w14:textId="77777777" w:rsidR="00B560D6" w:rsidRDefault="007515C4">
      <w:pPr>
        <w:pStyle w:val="Heading2"/>
      </w:pPr>
      <w:bookmarkStart w:id="3" w:name="_wqhyl6ea4chw" w:colFirst="0" w:colLast="0"/>
      <w:bookmarkEnd w:id="3"/>
      <w:r>
        <w:t>Strategies to Help</w:t>
      </w:r>
    </w:p>
    <w:p w14:paraId="469827FB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Allow time for the student to think</w:t>
      </w:r>
    </w:p>
    <w:p w14:paraId="5642B14F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 slow</w:t>
      </w:r>
    </w:p>
    <w:p w14:paraId="5798F778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a calculator where possible to remove the requirement for mental arithmetic</w:t>
      </w:r>
    </w:p>
    <w:p w14:paraId="225A9348" w14:textId="101ED7E0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of colour for </w:t>
      </w:r>
      <w:proofErr w:type="gramStart"/>
      <w:r>
        <w:rPr>
          <w:sz w:val="24"/>
          <w:szCs w:val="24"/>
        </w:rPr>
        <w:t>different aspects</w:t>
      </w:r>
      <w:proofErr w:type="gramEnd"/>
      <w:r>
        <w:rPr>
          <w:sz w:val="24"/>
          <w:szCs w:val="24"/>
        </w:rPr>
        <w:t xml:space="preserve"> of a problem, </w:t>
      </w:r>
      <w:r w:rsidR="006D5E18">
        <w:rPr>
          <w:sz w:val="24"/>
          <w:szCs w:val="24"/>
        </w:rPr>
        <w:t>e.g.,</w:t>
      </w:r>
      <w:r>
        <w:rPr>
          <w:sz w:val="24"/>
          <w:szCs w:val="24"/>
        </w:rPr>
        <w:t xml:space="preserve"> different operations </w:t>
      </w:r>
    </w:p>
    <w:p w14:paraId="07D0FF16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bullet points to break</w:t>
      </w:r>
      <w:r>
        <w:rPr>
          <w:sz w:val="24"/>
          <w:szCs w:val="24"/>
        </w:rPr>
        <w:t xml:space="preserve"> up the text</w:t>
      </w:r>
    </w:p>
    <w:p w14:paraId="77D69EDE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Make a list or glossary of technical words, </w:t>
      </w:r>
      <w:proofErr w:type="gramStart"/>
      <w:r>
        <w:rPr>
          <w:sz w:val="24"/>
          <w:szCs w:val="24"/>
        </w:rPr>
        <w:t>symbols</w:t>
      </w:r>
      <w:proofErr w:type="gramEnd"/>
      <w:r>
        <w:rPr>
          <w:sz w:val="24"/>
          <w:szCs w:val="24"/>
        </w:rPr>
        <w:t xml:space="preserve"> or notation</w:t>
      </w:r>
    </w:p>
    <w:p w14:paraId="7F99AD78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concrete materials and diagrams, where appropriate </w:t>
      </w:r>
    </w:p>
    <w:p w14:paraId="45A0DA7E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with place value columns</w:t>
      </w:r>
    </w:p>
    <w:p w14:paraId="46EADE07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squared paper </w:t>
      </w:r>
    </w:p>
    <w:p w14:paraId="3B548C9B" w14:textId="77777777" w:rsidR="00B560D6" w:rsidRDefault="007515C4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Encourage the student to create step by step procedures</w:t>
      </w:r>
    </w:p>
    <w:p w14:paraId="35A2FCE3" w14:textId="77777777" w:rsidR="00B560D6" w:rsidRDefault="007515C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Encourage the student to check for mistakes</w:t>
      </w:r>
    </w:p>
    <w:p w14:paraId="48CC5D7E" w14:textId="77777777" w:rsidR="00B560D6" w:rsidRDefault="007515C4">
      <w:pPr>
        <w:pStyle w:val="Heading2"/>
      </w:pPr>
      <w:bookmarkStart w:id="4" w:name="_cdcnidm7byv8" w:colFirst="0" w:colLast="0"/>
      <w:bookmarkEnd w:id="4"/>
      <w:r>
        <w:t>Further information</w:t>
      </w:r>
    </w:p>
    <w:p w14:paraId="15F8DED1" w14:textId="4AF2A8E3" w:rsidR="00B560D6" w:rsidRDefault="007515C4" w:rsidP="00012C17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Further </w:t>
      </w:r>
      <w:proofErr w:type="gramStart"/>
      <w:r>
        <w:rPr>
          <w:sz w:val="24"/>
          <w:szCs w:val="24"/>
        </w:rPr>
        <w:t>assistance</w:t>
      </w:r>
      <w:proofErr w:type="gramEnd"/>
      <w:r>
        <w:rPr>
          <w:sz w:val="24"/>
          <w:szCs w:val="24"/>
        </w:rPr>
        <w:t xml:space="preserve"> on time management, organisational and other study skills can be accessed from your Disability Department or relevant</w:t>
      </w:r>
      <w:r>
        <w:rPr>
          <w:sz w:val="24"/>
          <w:szCs w:val="24"/>
        </w:rPr>
        <w:t xml:space="preserve"> Student Support. </w:t>
      </w:r>
    </w:p>
    <w:p w14:paraId="214C9E48" w14:textId="453493AD" w:rsidR="00B560D6" w:rsidRDefault="007515C4">
      <w:pPr>
        <w:rPr>
          <w:sz w:val="24"/>
          <w:szCs w:val="24"/>
        </w:rPr>
      </w:pPr>
      <w:r>
        <w:rPr>
          <w:sz w:val="24"/>
          <w:szCs w:val="24"/>
        </w:rPr>
        <w:t xml:space="preserve">Further general information is available from Cowen, M. (2010). Dyslexia, Dyspraxia and Dyscalculia for </w:t>
      </w:r>
      <w:hyperlink r:id="rId7" w:history="1">
        <w:r w:rsidR="006D5E18" w:rsidRPr="006F7C68">
          <w:rPr>
            <w:rStyle w:val="Hyperlink"/>
            <w:sz w:val="24"/>
            <w:szCs w:val="24"/>
          </w:rPr>
          <w:t>https://www.nottingham.ac.uk/studentservices/documents/rcn---</w:t>
        </w:r>
        <w:proofErr w:type="spellStart"/>
        <w:r w:rsidR="006D5E18" w:rsidRPr="006F7C68">
          <w:rPr>
            <w:rStyle w:val="Hyperlink"/>
            <w:sz w:val="24"/>
            <w:szCs w:val="24"/>
          </w:rPr>
          <w:t>dyslexiadyspraxiadyscalculia</w:t>
        </w:r>
        <w:proofErr w:type="spellEnd"/>
        <w:r w:rsidR="006D5E18" w:rsidRPr="006F7C68">
          <w:rPr>
            <w:rStyle w:val="Hyperlink"/>
            <w:sz w:val="24"/>
            <w:szCs w:val="24"/>
          </w:rPr>
          <w:t>---toolkit-for-nursing-staff.pdf</w:t>
        </w:r>
      </w:hyperlink>
      <w:r w:rsidR="006D5E18">
        <w:rPr>
          <w:sz w:val="24"/>
          <w:szCs w:val="24"/>
        </w:rPr>
        <w:t xml:space="preserve"> </w:t>
      </w:r>
    </w:p>
    <w:sectPr w:rsidR="00B560D6" w:rsidSect="00012C17">
      <w:headerReference w:type="default" r:id="rId8"/>
      <w:pgSz w:w="11906" w:h="16838"/>
      <w:pgMar w:top="1080" w:right="1080" w:bottom="1080" w:left="108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1C6CC" w14:textId="77777777" w:rsidR="00012C17" w:rsidRDefault="00012C17" w:rsidP="00012C17">
      <w:pPr>
        <w:spacing w:after="0" w:line="240" w:lineRule="auto"/>
      </w:pPr>
      <w:r>
        <w:separator/>
      </w:r>
    </w:p>
  </w:endnote>
  <w:endnote w:type="continuationSeparator" w:id="0">
    <w:p w14:paraId="0015A38C" w14:textId="77777777" w:rsidR="00012C17" w:rsidRDefault="00012C17" w:rsidP="0001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2B760" w14:textId="77777777" w:rsidR="00012C17" w:rsidRDefault="00012C17" w:rsidP="00012C17">
      <w:pPr>
        <w:spacing w:after="0" w:line="240" w:lineRule="auto"/>
      </w:pPr>
      <w:r>
        <w:separator/>
      </w:r>
    </w:p>
  </w:footnote>
  <w:footnote w:type="continuationSeparator" w:id="0">
    <w:p w14:paraId="73CC8862" w14:textId="77777777" w:rsidR="00012C17" w:rsidRDefault="00012C17" w:rsidP="00012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B1AE4" w14:textId="180FCA0A" w:rsidR="00012C17" w:rsidRDefault="00012C17" w:rsidP="00012C17">
    <w:pPr>
      <w:pStyle w:val="Header"/>
      <w:jc w:val="right"/>
    </w:pPr>
    <w:r>
      <w:rPr>
        <w:noProof/>
      </w:rPr>
      <w:drawing>
        <wp:inline distT="0" distB="0" distL="0" distR="0" wp14:anchorId="30C697BB" wp14:editId="4DB7C051">
          <wp:extent cx="1945472" cy="757238"/>
          <wp:effectExtent l="0" t="0" r="0" b="5080"/>
          <wp:docPr id="1" name="image1.jpg" descr="sigma network for excellence in mathematics and statistics suppor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igma network for excellence in mathematics and statistics support logo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5472" cy="757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3BF5"/>
    <w:multiLevelType w:val="multilevel"/>
    <w:tmpl w:val="DB0861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B24A32"/>
    <w:multiLevelType w:val="multilevel"/>
    <w:tmpl w:val="2730C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91A5C"/>
    <w:multiLevelType w:val="multilevel"/>
    <w:tmpl w:val="ED5C6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6"/>
    <w:rsid w:val="00012C17"/>
    <w:rsid w:val="006D5E18"/>
    <w:rsid w:val="007515C4"/>
    <w:rsid w:val="00B560D6"/>
    <w:rsid w:val="00E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F00D"/>
  <w15:docId w15:val="{E6594A58-8E71-47F1-A2DA-8ED27CE3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12C17"/>
    <w:pPr>
      <w:keepNext/>
      <w:keepLines/>
      <w:outlineLvl w:val="0"/>
    </w:pPr>
    <w:rPr>
      <w:b/>
      <w:color w:val="07376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12C17"/>
    <w:pPr>
      <w:keepNext/>
      <w:keepLines/>
      <w:spacing w:before="120" w:after="0"/>
      <w:outlineLvl w:val="1"/>
    </w:pPr>
    <w:rPr>
      <w:b/>
      <w:color w:val="0B539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3C78D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17"/>
  </w:style>
  <w:style w:type="paragraph" w:styleId="Footer">
    <w:name w:val="footer"/>
    <w:basedOn w:val="Normal"/>
    <w:link w:val="FooterChar"/>
    <w:uiPriority w:val="99"/>
    <w:unhideWhenUsed/>
    <w:rsid w:val="00012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17"/>
  </w:style>
  <w:style w:type="character" w:styleId="Hyperlink">
    <w:name w:val="Hyperlink"/>
    <w:basedOn w:val="DefaultParagraphFont"/>
    <w:uiPriority w:val="99"/>
    <w:unhideWhenUsed/>
    <w:rsid w:val="006D5E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nottingham.ac.uk/studentservices/documents/rcn---dyslexiadyspraxiadyscalculia---toolkit-for-nursing-staff.pdf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CC8CEA6621041BEA6F3A782D21784" ma:contentTypeVersion="6" ma:contentTypeDescription="Create a new document." ma:contentTypeScope="" ma:versionID="a69c3d24c0e5586a5fa7d5e994e1d2ff">
  <xsd:schema xmlns:xsd="http://www.w3.org/2001/XMLSchema" xmlns:xs="http://www.w3.org/2001/XMLSchema" xmlns:p="http://schemas.microsoft.com/office/2006/metadata/properties" xmlns:ns2="8e897a7e-d46f-4155-a80a-9677d6b4005c" xmlns:ns3="950db0c4-d889-4c17-93d2-163003a39542" targetNamespace="http://schemas.microsoft.com/office/2006/metadata/properties" ma:root="true" ma:fieldsID="5d85c4af29eef15b8b6b5106ce3d6b5c" ns2:_="" ns3:_="">
    <xsd:import namespace="8e897a7e-d46f-4155-a80a-9677d6b4005c"/>
    <xsd:import namespace="950db0c4-d889-4c17-93d2-163003a39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97a7e-d46f-4155-a80a-9677d6b40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db0c4-d889-4c17-93d2-163003a395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0DC3B-E1FB-4576-A7AC-E31EE561A44A}"/>
</file>

<file path=customXml/itemProps2.xml><?xml version="1.0" encoding="utf-8"?>
<ds:datastoreItem xmlns:ds="http://schemas.openxmlformats.org/officeDocument/2006/customXml" ds:itemID="{340C3F2E-BED0-4103-82EC-ECDF8C9AF5F1}"/>
</file>

<file path=customXml/itemProps3.xml><?xml version="1.0" encoding="utf-8"?>
<ds:datastoreItem xmlns:ds="http://schemas.openxmlformats.org/officeDocument/2006/customXml" ds:itemID="{02074A59-5DD6-4574-9078-B0F8BA5939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Cliffe</dc:creator>
  <cp:lastModifiedBy>Emma Cliffe</cp:lastModifiedBy>
  <cp:revision>3</cp:revision>
  <cp:lastPrinted>2021-08-10T15:04:00Z</cp:lastPrinted>
  <dcterms:created xsi:type="dcterms:W3CDTF">2021-08-10T15:03:00Z</dcterms:created>
  <dcterms:modified xsi:type="dcterms:W3CDTF">2021-08-10T15:04:00Z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0x010100640CC8CEA6621041BEA6F3A782D21784</vt:lpwstr>
  </property>
</Properties>
</file>