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B7CC" w14:textId="6E034A32" w:rsidR="00EC5CCA" w:rsidRDefault="0022662B">
      <w:pPr>
        <w:pStyle w:val="Heading1"/>
      </w:pPr>
      <w:bookmarkStart w:id="0" w:name="_11wolrr5hq0s" w:colFirst="0" w:colLast="0"/>
      <w:bookmarkEnd w:id="0"/>
      <w:r>
        <w:t>For tutors:</w:t>
      </w:r>
      <w:r>
        <w:t xml:space="preserve"> Dyspraxia</w:t>
      </w:r>
    </w:p>
    <w:p w14:paraId="472DFDA7" w14:textId="77777777" w:rsidR="00EC5CCA" w:rsidRDefault="0022662B">
      <w:pPr>
        <w:pStyle w:val="Heading2"/>
      </w:pPr>
      <w:bookmarkStart w:id="1" w:name="_r4stkl42o3bp" w:colFirst="0" w:colLast="0"/>
      <w:bookmarkEnd w:id="1"/>
      <w:r>
        <w:t>Introduction</w:t>
      </w:r>
    </w:p>
    <w:p w14:paraId="4A68C2C3" w14:textId="77777777" w:rsidR="00EC5CCA" w:rsidRDefault="0022662B" w:rsidP="004F4E80">
      <w:r>
        <w:t xml:space="preserve">Dyspraxia is lifelong. It can </w:t>
      </w:r>
      <w:proofErr w:type="gramStart"/>
      <w:r>
        <w:t>impact</w:t>
      </w:r>
      <w:proofErr w:type="gramEnd"/>
      <w:r>
        <w:t xml:space="preserve"> on co-ordination and the organisation of movement. It may also be associated with problems of </w:t>
      </w:r>
      <w:proofErr w:type="gramStart"/>
      <w:r>
        <w:t>perception</w:t>
      </w:r>
      <w:proofErr w:type="gramEnd"/>
      <w:r>
        <w:t>, language and thought.  Students with dyspraxia may have difficulties communicating and organising mathematical in</w:t>
      </w:r>
      <w:r>
        <w:t xml:space="preserve">formation, speed of processing, and concentration. It should </w:t>
      </w:r>
      <w:proofErr w:type="gramStart"/>
      <w:r>
        <w:t>be recognised</w:t>
      </w:r>
      <w:proofErr w:type="gramEnd"/>
      <w:r>
        <w:t xml:space="preserve"> that dyspraxia may present along a spectrum of difficulties meaning individual strength and weaknesses may vary.</w:t>
      </w:r>
    </w:p>
    <w:p w14:paraId="30049D8A" w14:textId="50AFE412" w:rsidR="00EC5CCA" w:rsidRDefault="0022662B">
      <w:pPr>
        <w:pStyle w:val="Heading2"/>
      </w:pPr>
      <w:bookmarkStart w:id="2" w:name="_jb9ka7e6psd6" w:colFirst="0" w:colLast="0"/>
      <w:bookmarkEnd w:id="2"/>
      <w:r>
        <w:t>Impact on Mathematics</w:t>
      </w:r>
      <w:r w:rsidR="004F4E80">
        <w:t xml:space="preserve"> (suggested strategies in brackets)</w:t>
      </w:r>
    </w:p>
    <w:p w14:paraId="3C1C83C9" w14:textId="0E244797" w:rsidR="00EC5CCA" w:rsidRDefault="0022662B">
      <w:pPr>
        <w:numPr>
          <w:ilvl w:val="0"/>
          <w:numId w:val="1"/>
        </w:numPr>
        <w:spacing w:after="0"/>
      </w:pPr>
      <w:r>
        <w:t xml:space="preserve">Slower writing </w:t>
      </w:r>
      <w:r w:rsidR="00D52618">
        <w:t xml:space="preserve">of </w:t>
      </w:r>
      <w:r>
        <w:t>notes and leaving tasks unfinis</w:t>
      </w:r>
      <w:r>
        <w:t>hed (A, C, D, E, G, K, L, M)</w:t>
      </w:r>
    </w:p>
    <w:p w14:paraId="2CF888E4" w14:textId="7ECA6206" w:rsidR="00EC5CCA" w:rsidRDefault="0022662B">
      <w:pPr>
        <w:numPr>
          <w:ilvl w:val="0"/>
          <w:numId w:val="1"/>
        </w:numPr>
        <w:spacing w:after="0"/>
      </w:pPr>
      <w:r>
        <w:t xml:space="preserve">Difficulty </w:t>
      </w:r>
      <w:r w:rsidR="00D52618">
        <w:t>reading their</w:t>
      </w:r>
      <w:r>
        <w:t xml:space="preserve"> writing/calculations (F, G, H, I, J, K, L, M)</w:t>
      </w:r>
    </w:p>
    <w:p w14:paraId="55A8689F" w14:textId="77777777" w:rsidR="00EC5CCA" w:rsidRDefault="0022662B">
      <w:pPr>
        <w:numPr>
          <w:ilvl w:val="0"/>
          <w:numId w:val="1"/>
        </w:numPr>
        <w:spacing w:after="0"/>
      </w:pPr>
      <w:r>
        <w:t>Organisation and time management (A, B, C, D, E, F, G, I, J, K, M)</w:t>
      </w:r>
    </w:p>
    <w:p w14:paraId="38C274C7" w14:textId="77777777" w:rsidR="00EC5CCA" w:rsidRDefault="0022662B">
      <w:pPr>
        <w:numPr>
          <w:ilvl w:val="0"/>
          <w:numId w:val="1"/>
        </w:numPr>
        <w:spacing w:after="0"/>
      </w:pPr>
      <w:r>
        <w:t>Procrastination (A, C, D, E, M)</w:t>
      </w:r>
    </w:p>
    <w:p w14:paraId="1706C80B" w14:textId="77777777" w:rsidR="00EC5CCA" w:rsidRDefault="0022662B">
      <w:pPr>
        <w:numPr>
          <w:ilvl w:val="0"/>
          <w:numId w:val="1"/>
        </w:numPr>
        <w:spacing w:after="0"/>
      </w:pPr>
      <w:r>
        <w:t>Concepts of time (A, D, E, K, M)</w:t>
      </w:r>
    </w:p>
    <w:p w14:paraId="7A3507FD" w14:textId="77777777" w:rsidR="00EC5CCA" w:rsidRDefault="0022662B">
      <w:pPr>
        <w:numPr>
          <w:ilvl w:val="0"/>
          <w:numId w:val="1"/>
        </w:numPr>
        <w:spacing w:after="0"/>
      </w:pPr>
      <w:r>
        <w:t>Spatial awareness, 2D a</w:t>
      </w:r>
      <w:r>
        <w:t>nd 3D, shapes, use of equipment - compass, protractor, ruler (B, F, I, J, K)</w:t>
      </w:r>
    </w:p>
    <w:p w14:paraId="5F806560" w14:textId="77777777" w:rsidR="00EC5CCA" w:rsidRDefault="0022662B">
      <w:pPr>
        <w:numPr>
          <w:ilvl w:val="0"/>
          <w:numId w:val="1"/>
        </w:numPr>
        <w:spacing w:after="0"/>
      </w:pPr>
      <w:r>
        <w:t>Working memory and speed of processing (A, B, C, D, E, F, G, H, I, J, K, L, M)</w:t>
      </w:r>
    </w:p>
    <w:p w14:paraId="5BBE0670" w14:textId="77777777" w:rsidR="00EC5CCA" w:rsidRDefault="0022662B">
      <w:pPr>
        <w:numPr>
          <w:ilvl w:val="0"/>
          <w:numId w:val="1"/>
        </w:numPr>
      </w:pPr>
      <w:r>
        <w:t>Fine and gross motor coordination, handwriting and holding pens (G, K)</w:t>
      </w:r>
    </w:p>
    <w:p w14:paraId="2409EC7A" w14:textId="77777777" w:rsidR="00EC5CCA" w:rsidRDefault="0022662B">
      <w:pPr>
        <w:pStyle w:val="Heading2"/>
      </w:pPr>
      <w:bookmarkStart w:id="3" w:name="_wqhyl6ea4chw" w:colFirst="0" w:colLast="0"/>
      <w:bookmarkEnd w:id="3"/>
      <w:r>
        <w:t>Strategies to Help</w:t>
      </w:r>
    </w:p>
    <w:p w14:paraId="2BC1CC7A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Encourage </w:t>
      </w:r>
      <w:r>
        <w:rPr>
          <w:szCs w:val="24"/>
        </w:rPr>
        <w:t>the student to stay on task</w:t>
      </w:r>
    </w:p>
    <w:p w14:paraId="44CE3B16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Allow time for the student to read</w:t>
      </w:r>
    </w:p>
    <w:p w14:paraId="36BDA1DF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Use folders, file dividers to keep work organised</w:t>
      </w:r>
    </w:p>
    <w:p w14:paraId="23F7AA8D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Use alarms on phones to help with time management</w:t>
      </w:r>
    </w:p>
    <w:p w14:paraId="6F56A216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Set micro-targets to manage procrastination</w:t>
      </w:r>
    </w:p>
    <w:p w14:paraId="69950F0A" w14:textId="4AED8F68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Use of colour for </w:t>
      </w:r>
      <w:proofErr w:type="gramStart"/>
      <w:r>
        <w:rPr>
          <w:szCs w:val="24"/>
        </w:rPr>
        <w:t>different aspects</w:t>
      </w:r>
      <w:proofErr w:type="gramEnd"/>
      <w:r>
        <w:rPr>
          <w:szCs w:val="24"/>
        </w:rPr>
        <w:t xml:space="preserve"> of a problem,</w:t>
      </w:r>
      <w:r>
        <w:rPr>
          <w:szCs w:val="24"/>
        </w:rPr>
        <w:t xml:space="preserve"> </w:t>
      </w:r>
      <w:r w:rsidR="002D26BE">
        <w:rPr>
          <w:szCs w:val="24"/>
        </w:rPr>
        <w:t>e.g.,</w:t>
      </w:r>
      <w:r>
        <w:rPr>
          <w:szCs w:val="24"/>
        </w:rPr>
        <w:t xml:space="preserve"> different variables</w:t>
      </w:r>
    </w:p>
    <w:p w14:paraId="166EE5F3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Use bullet points to break up the text</w:t>
      </w:r>
    </w:p>
    <w:p w14:paraId="377863A9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Make a list or glossary of technical words, </w:t>
      </w:r>
      <w:proofErr w:type="gramStart"/>
      <w:r>
        <w:rPr>
          <w:szCs w:val="24"/>
        </w:rPr>
        <w:t>symbols</w:t>
      </w:r>
      <w:proofErr w:type="gramEnd"/>
      <w:r>
        <w:rPr>
          <w:szCs w:val="24"/>
        </w:rPr>
        <w:t xml:space="preserve"> or notation</w:t>
      </w:r>
    </w:p>
    <w:p w14:paraId="20940FB5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Use diagrams where possible</w:t>
      </w:r>
    </w:p>
    <w:p w14:paraId="6B2B46E7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Use squared paper</w:t>
      </w:r>
    </w:p>
    <w:p w14:paraId="764BF5F0" w14:textId="1E21D401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 xml:space="preserve">Encourage the student to use </w:t>
      </w:r>
      <w:proofErr w:type="gramStart"/>
      <w:r w:rsidR="002D26BE">
        <w:rPr>
          <w:szCs w:val="24"/>
        </w:rPr>
        <w:t>software</w:t>
      </w:r>
      <w:r>
        <w:rPr>
          <w:szCs w:val="24"/>
        </w:rPr>
        <w:t xml:space="preserve"> based</w:t>
      </w:r>
      <w:proofErr w:type="gramEnd"/>
      <w:r>
        <w:rPr>
          <w:szCs w:val="24"/>
        </w:rPr>
        <w:t xml:space="preserve"> equation building software</w:t>
      </w:r>
    </w:p>
    <w:p w14:paraId="5B26F94A" w14:textId="77777777" w:rsidR="00EC5CCA" w:rsidRDefault="0022662B">
      <w:pPr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Encourage the student to check for mistakes</w:t>
      </w:r>
    </w:p>
    <w:p w14:paraId="01366487" w14:textId="77777777" w:rsidR="00EC5CCA" w:rsidRDefault="0022662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Write down what you say as the student will be likely to not recall this</w:t>
      </w:r>
    </w:p>
    <w:p w14:paraId="1EBB3DF3" w14:textId="65BF58B7" w:rsidR="00EC5CCA" w:rsidRDefault="0022662B">
      <w:pPr>
        <w:pStyle w:val="Heading2"/>
      </w:pPr>
      <w:bookmarkStart w:id="4" w:name="_cdcnidm7byv8" w:colFirst="0" w:colLast="0"/>
      <w:bookmarkEnd w:id="4"/>
      <w:r>
        <w:t>Further information</w:t>
      </w:r>
    </w:p>
    <w:p w14:paraId="78BB4F7A" w14:textId="06AC3F0A" w:rsidR="000F3034" w:rsidRPr="000F3034" w:rsidRDefault="000F3034" w:rsidP="000F3034">
      <w:pPr>
        <w:spacing w:before="200"/>
        <w:rPr>
          <w:szCs w:val="24"/>
        </w:rPr>
      </w:pPr>
      <w:r>
        <w:rPr>
          <w:szCs w:val="24"/>
        </w:rPr>
        <w:t xml:space="preserve">Further </w:t>
      </w:r>
      <w:proofErr w:type="gramStart"/>
      <w:r>
        <w:rPr>
          <w:szCs w:val="24"/>
        </w:rPr>
        <w:t>assistance</w:t>
      </w:r>
      <w:proofErr w:type="gramEnd"/>
      <w:r>
        <w:rPr>
          <w:szCs w:val="24"/>
        </w:rPr>
        <w:t xml:space="preserve"> on time management, organisational and other study skills can be accessed from your Disability Department or relevant Student Support. </w:t>
      </w:r>
    </w:p>
    <w:p w14:paraId="2A6BC879" w14:textId="3C99DEF4" w:rsidR="00EC5CCA" w:rsidRDefault="000F3034">
      <w:r w:rsidRPr="000F3034">
        <w:rPr>
          <w:szCs w:val="24"/>
        </w:rPr>
        <w:t xml:space="preserve">Further general information is available from Cowen, M. (2010). Dyslexia, Dyspraxia and Dyscalculia for </w:t>
      </w:r>
      <w:hyperlink r:id="rId7" w:history="1">
        <w:r w:rsidRPr="00745A23">
          <w:rPr>
            <w:rStyle w:val="Hyperlink"/>
            <w:szCs w:val="24"/>
          </w:rPr>
          <w:t>https://www.nottingham.ac.uk/studentservices/documents/rcn---</w:t>
        </w:r>
        <w:proofErr w:type="spellStart"/>
        <w:r w:rsidRPr="00745A23">
          <w:rPr>
            <w:rStyle w:val="Hyperlink"/>
            <w:szCs w:val="24"/>
          </w:rPr>
          <w:t>dyslexiadyspraxiadyscalculia</w:t>
        </w:r>
        <w:proofErr w:type="spellEnd"/>
        <w:r w:rsidRPr="00745A23">
          <w:rPr>
            <w:rStyle w:val="Hyperlink"/>
            <w:szCs w:val="24"/>
          </w:rPr>
          <w:t>---toolkit-for-nursing-staff.pdf</w:t>
        </w:r>
      </w:hyperlink>
      <w:r>
        <w:rPr>
          <w:szCs w:val="24"/>
        </w:rPr>
        <w:t xml:space="preserve"> </w:t>
      </w:r>
    </w:p>
    <w:sectPr w:rsidR="00EC5CCA" w:rsidSect="000870D9">
      <w:headerReference w:type="default" r:id="rId8"/>
      <w:pgSz w:w="11906" w:h="16838"/>
      <w:pgMar w:top="1080" w:right="1080" w:bottom="1080" w:left="108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DCFE2" w14:textId="77777777" w:rsidR="000870D9" w:rsidRDefault="000870D9" w:rsidP="000870D9">
      <w:pPr>
        <w:spacing w:after="0" w:line="240" w:lineRule="auto"/>
      </w:pPr>
      <w:r>
        <w:separator/>
      </w:r>
    </w:p>
  </w:endnote>
  <w:endnote w:type="continuationSeparator" w:id="0">
    <w:p w14:paraId="660B92F3" w14:textId="77777777" w:rsidR="000870D9" w:rsidRDefault="000870D9" w:rsidP="0008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538A4" w14:textId="77777777" w:rsidR="000870D9" w:rsidRDefault="000870D9" w:rsidP="000870D9">
      <w:pPr>
        <w:spacing w:after="0" w:line="240" w:lineRule="auto"/>
      </w:pPr>
      <w:r>
        <w:separator/>
      </w:r>
    </w:p>
  </w:footnote>
  <w:footnote w:type="continuationSeparator" w:id="0">
    <w:p w14:paraId="3032070B" w14:textId="77777777" w:rsidR="000870D9" w:rsidRDefault="000870D9" w:rsidP="00087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86A2B" w14:textId="7474416A" w:rsidR="000870D9" w:rsidRDefault="000870D9" w:rsidP="000870D9">
    <w:pPr>
      <w:pStyle w:val="Header"/>
      <w:jc w:val="right"/>
    </w:pPr>
    <w:r>
      <w:rPr>
        <w:noProof/>
      </w:rPr>
      <w:drawing>
        <wp:inline distT="0" distB="0" distL="0" distR="0" wp14:anchorId="2AFE7A64" wp14:editId="7FAA23F8">
          <wp:extent cx="1945472" cy="757238"/>
          <wp:effectExtent l="0" t="0" r="0" b="5080"/>
          <wp:docPr id="1" name="image1.jpg" descr="sigma network for excellence in mathematics and statistics suppor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igma network for excellence in mathematics and statistics support logo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5472" cy="757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51C6F"/>
    <w:multiLevelType w:val="multilevel"/>
    <w:tmpl w:val="EBFEF8B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D15150"/>
    <w:multiLevelType w:val="multilevel"/>
    <w:tmpl w:val="68363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CCA"/>
    <w:rsid w:val="000870D9"/>
    <w:rsid w:val="000F3034"/>
    <w:rsid w:val="0022662B"/>
    <w:rsid w:val="002D26BE"/>
    <w:rsid w:val="004F4E80"/>
    <w:rsid w:val="0055442E"/>
    <w:rsid w:val="00BF66FE"/>
    <w:rsid w:val="00D52618"/>
    <w:rsid w:val="00E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205F"/>
  <w15:docId w15:val="{D45225FD-97A5-44CB-9672-689CF8C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80"/>
    <w:rPr>
      <w:sz w:val="24"/>
    </w:rPr>
  </w:style>
  <w:style w:type="paragraph" w:styleId="Heading1">
    <w:name w:val="heading 1"/>
    <w:basedOn w:val="Normal"/>
    <w:next w:val="Normal"/>
    <w:uiPriority w:val="9"/>
    <w:qFormat/>
    <w:rsid w:val="000870D9"/>
    <w:pPr>
      <w:keepNext/>
      <w:keepLines/>
      <w:outlineLvl w:val="0"/>
    </w:pPr>
    <w:rPr>
      <w:b/>
      <w:color w:val="07376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870D9"/>
    <w:pPr>
      <w:keepNext/>
      <w:keepLines/>
      <w:spacing w:before="120" w:after="0"/>
      <w:outlineLvl w:val="1"/>
    </w:pPr>
    <w:rPr>
      <w:b/>
      <w:color w:val="0B539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3C78D8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0D9"/>
  </w:style>
  <w:style w:type="paragraph" w:styleId="Footer">
    <w:name w:val="footer"/>
    <w:basedOn w:val="Normal"/>
    <w:link w:val="FooterChar"/>
    <w:uiPriority w:val="99"/>
    <w:unhideWhenUsed/>
    <w:rsid w:val="0008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0D9"/>
  </w:style>
  <w:style w:type="character" w:styleId="Hyperlink">
    <w:name w:val="Hyperlink"/>
    <w:basedOn w:val="DefaultParagraphFont"/>
    <w:uiPriority w:val="99"/>
    <w:unhideWhenUsed/>
    <w:rsid w:val="000F3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nottingham.ac.uk/studentservices/documents/rcn---dyslexiadyspraxiadyscalculia---toolkit-for-nursing-staff.pdf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CC8CEA6621041BEA6F3A782D21784" ma:contentTypeVersion="6" ma:contentTypeDescription="Create a new document." ma:contentTypeScope="" ma:versionID="a69c3d24c0e5586a5fa7d5e994e1d2ff">
  <xsd:schema xmlns:xsd="http://www.w3.org/2001/XMLSchema" xmlns:xs="http://www.w3.org/2001/XMLSchema" xmlns:p="http://schemas.microsoft.com/office/2006/metadata/properties" xmlns:ns2="8e897a7e-d46f-4155-a80a-9677d6b4005c" xmlns:ns3="950db0c4-d889-4c17-93d2-163003a39542" targetNamespace="http://schemas.microsoft.com/office/2006/metadata/properties" ma:root="true" ma:fieldsID="5d85c4af29eef15b8b6b5106ce3d6b5c" ns2:_="" ns3:_="">
    <xsd:import namespace="8e897a7e-d46f-4155-a80a-9677d6b4005c"/>
    <xsd:import namespace="950db0c4-d889-4c17-93d2-163003a39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97a7e-d46f-4155-a80a-9677d6b40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db0c4-d889-4c17-93d2-163003a395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136409-E9A6-4FF5-BBC2-4746BBE8558C}"/>
</file>

<file path=customXml/itemProps2.xml><?xml version="1.0" encoding="utf-8"?>
<ds:datastoreItem xmlns:ds="http://schemas.openxmlformats.org/officeDocument/2006/customXml" ds:itemID="{156FA618-FB93-4650-BC5F-A3DBBF9D8D3F}"/>
</file>

<file path=customXml/itemProps3.xml><?xml version="1.0" encoding="utf-8"?>
<ds:datastoreItem xmlns:ds="http://schemas.openxmlformats.org/officeDocument/2006/customXml" ds:itemID="{B80E4BE6-A266-4DD3-866D-1E94A5CADD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Cliffe</dc:creator>
  <cp:lastModifiedBy>Emma Cliffe</cp:lastModifiedBy>
  <cp:revision>3</cp:revision>
  <cp:lastPrinted>2021-08-10T15:18:00Z</cp:lastPrinted>
  <dcterms:created xsi:type="dcterms:W3CDTF">2021-08-10T15:18:00Z</dcterms:created>
  <dcterms:modified xsi:type="dcterms:W3CDTF">2021-08-10T15:26:00Z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0x010100640CC8CEA6621041BEA6F3A782D21784</vt:lpwstr>
  </property>
</Properties>
</file>