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3.png" ContentType="image/png"/>
  <Override PartName="/word/media/rId59.png" ContentType="image/png"/>
  <Override PartName="/word/media/rId66.png" ContentType="image/png"/>
  <Override PartName="/word/media/rId74.png" ContentType="image/png"/>
  <Override PartName="/word/media/rId90.png" ContentType="image/png"/>
  <Override PartName="/word/media/rId97.png" ContentType="image/png"/>
  <Override PartName="/word/media/rId108.png" ContentType="image/png"/>
  <Override PartName="/word/media/rId116.png" ContentType="image/png"/>
  <Override PartName="/word/media/rId120.png" ContentType="image/png"/>
  <Override PartName="/word/media/rId125.png" ContentType="image/png"/>
  <Override PartName="/word/media/rId132.png" ContentType="image/png"/>
  <Override PartName="/word/media/rId136.png" ContentType="image/png"/>
  <Override PartName="/word/media/rId144.png" ContentType="image/png"/>
  <Override PartName="/word/media/rId151.png" ContentType="image/png"/>
  <Override PartName="/word/media/rId156.png" ContentType="image/png"/>
  <Override PartName="/word/media/rId164.png" ContentType="image/png"/>
  <Override PartName="/word/media/rId171.png" ContentType="image/png"/>
  <Override PartName="/word/media/rId182.png" ContentType="image/png"/>
  <Override PartName="/word/media/rId196.png" ContentType="image/png"/>
  <Override PartName="/word/media/rId203.png" ContentType="image/png"/>
  <Override PartName="/word/media/rId210.png" ContentType="image/png"/>
  <Override PartName="/word/media/rId218.png" ContentType="image/png"/>
  <Override PartName="/word/media/rId225.png" ContentType="image/png"/>
  <Override PartName="/word/media/rId232.png" ContentType="image/png"/>
  <Override PartName="/word/media/rId243.png" ContentType="image/png"/>
  <Override PartName="/word/media/rId248.png" ContentType="image/png"/>
  <Override PartName="/word/media/rId262.png" ContentType="image/png"/>
  <Override PartName="/word/media/rId268.png" ContentType="image/png"/>
  <Override PartName="/word/media/rId273.png" ContentType="image/png"/>
  <Override PartName="/word/media/rId278.png" ContentType="image/png"/>
  <Override PartName="/word/media/rId283.png" ContentType="image/png"/>
  <Override PartName="/word/media/rId78.png" ContentType="image/png"/>
  <Override PartName="/word/media/rId24.png" ContentType="image/png"/>
  <Override PartName="/word/media/rId8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 a video (with the same</w:t>
      </w:r>
      <w:r>
        <w:t xml:space="preserve"> </w:t>
      </w:r>
      <w:r>
        <w:t xml:space="preserve">content as the notes) 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videos are hosted on the University’s Panopto Re:view server. You</w:t>
            </w:r>
            <w:r>
              <w:t xml:space="preserve"> </w:t>
            </w:r>
            <w:r>
              <w:t xml:space="preserve">will have to login to watch them - it mau also force a pop-up window.</w:t>
            </w:r>
          </w:p>
        </w:tc>
      </w:tr>
    </w:tbl>
    <w:p>
      <w:pPr>
        <w:pStyle w:val="BodyText"/>
      </w:pPr>
      <w:r>
        <w:t xml:space="preserve">This is a work in progress, the videos are appearing and things may</w:t>
      </w:r>
      <w:r>
        <w:t xml:space="preserve"> </w:t>
      </w:r>
      <w:r>
        <w:t xml:space="preserve">change! If you find a mistake please email edrs20@bath.ac.uk and good</w:t>
      </w:r>
      <w:r>
        <w:t xml:space="preserve"> </w:t>
      </w:r>
      <w:r>
        <w:t xml:space="preserve">luck!</w:t>
      </w:r>
    </w:p>
    <w:bookmarkEnd w:id="23"/>
    <w:bookmarkStart w:id="45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4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32">
              <w:r>
                <w:drawing>
                  <wp:inline>
                    <wp:extent cx="5334000" cy="4311650"/>
                    <wp:effectExtent b="0" l="0" r="0" t="0"/>
                    <wp:docPr descr="" title="" id="30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2-1.png" id="3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3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3"/>
    <w:bookmarkEnd w:id="34"/>
    <w:bookmarkStart w:id="44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</w:t>
      </w:r>
      <w:r>
        <w:t xml:space="preserve"> </w:t>
      </w:r>
      <w:r>
        <w:t xml:space="preserve">(I know it seams bonkers!). The double negative cancels out to give</w:t>
      </w:r>
      <w:r>
        <w:t xml:space="preserve"> </w:t>
      </w:r>
      <w:r>
        <w:t xml:space="preserve">a calculation equivalent to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3">
              <w:r>
                <w:drawing>
                  <wp:inline>
                    <wp:extent cx="5334000" cy="4311650"/>
                    <wp:effectExtent b="0" l="0" r="0" t="0"/>
                    <wp:docPr descr="" title="" id="41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5-1.png" id="4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4"/>
    <w:bookmarkEnd w:id="45"/>
    <w:bookmarkStart w:id="58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50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BIDMAS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9">
              <w:r>
                <w:drawing>
                  <wp:inline>
                    <wp:extent cx="5334000" cy="4311650"/>
                    <wp:effectExtent b="0" l="0" r="0" t="0"/>
                    <wp:docPr descr="" title="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Start w:id="57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6">
              <w:r>
                <w:drawing>
                  <wp:inline>
                    <wp:extent cx="5334000" cy="4311650"/>
                    <wp:effectExtent b="0" l="0" r="0" t="0"/>
                    <wp:docPr descr="" title="" id="54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4-1.png" id="5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7"/>
    <w:bookmarkEnd w:id="58"/>
    <w:bookmarkStart w:id="73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5" w:name="expanding"/>
    <w:p>
      <w:pPr>
        <w:pStyle w:val="Heading2"/>
      </w:pPr>
      <w:r>
        <w:t xml:space="preserve">3.1 Expanding</w:t>
      </w:r>
    </w:p>
    <w:bookmarkStart w:id="63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2">
              <w:r>
                <w:drawing>
                  <wp:inline>
                    <wp:extent cx="5334000" cy="4311650"/>
                    <wp:effectExtent b="0" l="0" r="0" t="0"/>
                    <wp:docPr descr="" title="" id="60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3"/>
    <w:bookmarkStart w:id="64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4"/>
    <w:bookmarkEnd w:id="65"/>
    <w:bookmarkStart w:id="72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70" w:name="factorising---single-brackets"/>
    <w:p>
      <w:pPr>
        <w:pStyle w:val="Heading3"/>
      </w:pPr>
      <w:r>
        <w:t xml:space="preserve">3.2.1 Factorising - single brackets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9">
              <w:r>
                <w:drawing>
                  <wp:inline>
                    <wp:extent cx="5334000" cy="4311650"/>
                    <wp:effectExtent b="0" l="0" r="0" t="0"/>
                    <wp:docPr descr="" title="" id="67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4-1.png" id="6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70"/>
    <w:bookmarkStart w:id="71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71"/>
    <w:bookmarkEnd w:id="72"/>
    <w:bookmarkEnd w:id="73"/>
    <w:bookmarkStart w:id="89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81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7">
              <w:r>
                <w:drawing>
                  <wp:inline>
                    <wp:extent cx="5334000" cy="4311650"/>
                    <wp:effectExtent b="0" l="0" r="0" t="0"/>
                    <wp:docPr descr="" title="" id="75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3-1.png" id="7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81"/>
    <w:bookmarkStart w:id="87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5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5"/>
    <w:bookmarkStart w:id="86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88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Finding a common denominator is like</w:t>
      </w:r>
      <w:r>
        <w:t xml:space="preserve"> </w:t>
      </w:r>
      <w:r>
        <w:t xml:space="preserve">simplification, or cancelling down, in reverse.</w:t>
      </w:r>
    </w:p>
    <w:p>
      <w:pPr>
        <w:pStyle w:val="BodyText"/>
      </w:pPr>
      <w:r>
        <w:t xml:space="preserve">If we want to add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 </w:t>
      </w:r>
      <w:r>
        <w:t xml:space="preserve">for example, we want</w:t>
      </w:r>
      <w:r>
        <w:t xml:space="preserve"> </w:t>
      </w:r>
      <w:r>
        <w:t xml:space="preserve">to rewrite the first fraction so that it has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as the denominator. To</w:t>
      </w:r>
      <w:r>
        <w:t xml:space="preserve"> </w:t>
      </w:r>
      <w:r>
        <w:t xml:space="preserve">do this, we multiply the top and bottom of the fraction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(Remember</w:t>
      </w:r>
      <w:r>
        <w:t xml:space="preserve"> </w:t>
      </w:r>
      <w:r>
        <w:t xml:space="preserve">to multiply</w:t>
      </w:r>
      <w:r>
        <w:t xml:space="preserve"> </w:t>
      </w:r>
      <w:r>
        <w:rPr>
          <w:bCs/>
          <w:b/>
        </w:rPr>
        <w:t xml:space="preserve">both</w:t>
      </w:r>
      <w:r>
        <w:t xml:space="preserve"> </w:t>
      </w:r>
      <w:r>
        <w:t xml:space="preserve">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make sure the fractions are equivalent!)</w:t>
      </w:r>
      <w:r>
        <w:t xml:space="preserve"> 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8"/>
    <w:bookmarkEnd w:id="89"/>
    <w:bookmarkStart w:id="115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 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 out the value we are free to</w:t>
      </w:r>
      <w:r>
        <w:t xml:space="preserve"> </w:t>
      </w:r>
      <w:r>
        <w:t xml:space="preserve">apply any mathematical operation we like to the equation so long as we</w:t>
      </w:r>
      <w:r>
        <w:t xml:space="preserve"> </w:t>
      </w:r>
      <w:r>
        <w:rPr>
          <w:iCs/>
          <w:i/>
        </w:rPr>
        <w:t xml:space="preserve">do the 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2" w:name="linear-equations"/>
    <w:p>
      <w:pPr>
        <w:pStyle w:val="Heading2"/>
      </w:pPr>
      <w:r>
        <w:t xml:space="preserve">5.1 Linear equations</w:t>
      </w:r>
    </w:p>
    <w:bookmarkStart w:id="94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3">
              <w:r>
                <w:drawing>
                  <wp:inline>
                    <wp:extent cx="5334000" cy="4311650"/>
                    <wp:effectExtent b="0" l="0" r="0" t="0"/>
                    <wp:docPr descr="" title="" id="91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4"/>
    <w:bookmarkStart w:id="101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do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0">
              <w:r>
                <w:drawing>
                  <wp:inline>
                    <wp:extent cx="5334000" cy="4311650"/>
                    <wp:effectExtent b="0" l="0" r="0" t="0"/>
                    <wp:docPr descr="" title="" id="98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1"/>
    <w:bookmarkEnd w:id="102"/>
    <w:bookmarkStart w:id="105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5"/>
    <w:bookmarkStart w:id="114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0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These pairs of solutions are often given as co-ordinate pairs like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3</m:t>
                  </m:r>
                </m:e>
              </m:d>
            </m:oMath>
            <w:r>
              <w:t xml:space="preserve">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100</m:t>
                  </m:r>
                  <m:r>
                    <m:rPr>
                      <m:sty m:val="p"/>
                    </m:rPr>
                    <m:t>,</m:t>
                  </m:r>
                  <m:r>
                    <m:t>104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0.1</m:t>
                  </m:r>
                  <m:r>
                    <m:rPr>
                      <m:sty m:val="p"/>
                    </m:rPr>
                    <m:t>,</m:t>
                  </m:r>
                  <m:r>
                    <m:t>3.9</m:t>
                  </m:r>
                </m:e>
              </m:d>
            </m:oMath>
            <w:r>
              <w:t xml:space="preserve">. We’ll do more about co-ordinates</w:t>
            </w:r>
            <w:r>
              <w:t xml:space="preserve"> </w:t>
            </w:r>
            <w:r>
              <w:t xml:space="preserve">later.</w:t>
            </w:r>
          </w:p>
        </w:tc>
      </w:tr>
    </w:tbl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12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1">
              <w:r>
                <w:drawing>
                  <wp:inline>
                    <wp:extent cx="5334000" cy="4311650"/>
                    <wp:effectExtent b="0" l="0" r="0" t="0"/>
                    <wp:docPr descr="" title="" id="10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6-1.png" id="11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12"/>
    <w:bookmarkStart w:id="113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13"/>
    <w:bookmarkEnd w:id="114"/>
    <w:bookmarkEnd w:id="115"/>
    <w:bookmarkStart w:id="150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4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26720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3">
              <w:r>
                <w:drawing>
                  <wp:inline>
                    <wp:extent cx="5334000" cy="4311650"/>
                    <wp:effectExtent b="0" l="0" r="0" t="0"/>
                    <wp:docPr descr="" title="" id="121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4"/>
    <w:bookmarkStart w:id="149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9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8">
              <w:r>
                <w:drawing>
                  <wp:inline>
                    <wp:extent cx="5334000" cy="4267200"/>
                    <wp:effectExtent b="0" l="0" r="0" t="0"/>
                    <wp:docPr descr="" title="" id="126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9"/>
    <w:bookmarkStart w:id="148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9">
              <w:r>
                <w:drawing>
                  <wp:inline>
                    <wp:extent cx="5334000" cy="4267200"/>
                    <wp:effectExtent b="0" l="0" r="0" t="0"/>
                    <wp:docPr descr="" title="" id="13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changes for an incease in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in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direction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Different notation - same thing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equation of a straight line can be written using different letters.</w:t>
            </w:r>
            <w:r>
              <w:t xml:space="preserve"> </w:t>
            </w:r>
            <w:r>
              <w:t xml:space="preserve">They all mean the same thing. You may see: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</m:oMath>
          </w:p>
          <w:p>
            <w:pPr>
              <w:numPr>
                <w:ilvl w:val="0"/>
                <w:numId w:val="1010"/>
              </w:numPr>
              <w:pStyle w:val="Compact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</w:tr>
    </w:tbl>
    <w:p>
      <w:pPr>
        <w:pStyle w:val="FirstParagraph"/>
      </w:pPr>
      <w:r>
        <w:t xml:space="preserve">Using your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7">
              <w:r>
                <w:drawing>
                  <wp:inline>
                    <wp:extent cx="5334000" cy="4311650"/>
                    <wp:effectExtent b="0" l="0" r="0" t="0"/>
                    <wp:docPr descr="" title="" id="145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8-1.png" id="1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8"/>
    <w:bookmarkEnd w:id="149"/>
    <w:bookmarkEnd w:id="150"/>
    <w:bookmarkStart w:id="187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known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4">
              <w:r>
                <w:drawing>
                  <wp:inline>
                    <wp:extent cx="5334000" cy="4267200"/>
                    <wp:effectExtent b="0" l="0" r="0" t="0"/>
                    <wp:docPr descr="" title="" id="15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55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55"/>
    <w:bookmarkStart w:id="160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,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 multiply to get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+</m:t>
          </m:r>
          <m:r>
            <m:t>q</m:t>
          </m:r>
          <m:r>
            <m:rPr>
              <m:sty m:val="p"/>
            </m:rPr>
            <m:t>=</m:t>
          </m:r>
          <m:r>
            <m:t>b</m:t>
          </m:r>
          <m:r>
            <m:t> </m:t>
          </m:r>
          <m:r>
            <m:t> </m:t>
          </m:r>
          <m:r>
            <m:t>p</m:t>
          </m:r>
          <m:r>
            <m:rPr>
              <m:sty m:val="p"/>
            </m:rPr>
            <m:t>×</m:t>
          </m:r>
          <m:r>
            <m:t>q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pStyle w:val="FirstParagraph"/>
      </w:pPr>
      <w:r>
        <w:t xml:space="preserve">If we can find this pair of numbers we can factorise the quadratic. For</w:t>
      </w:r>
      <w:r>
        <w:t xml:space="preserve"> </w:t>
      </w:r>
      <w:r>
        <w:t xml:space="preserve">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 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9">
              <w:r>
                <w:drawing>
                  <wp:inline>
                    <wp:extent cx="5334000" cy="4311650"/>
                    <wp:effectExtent b="0" l="0" r="0" t="0"/>
                    <wp:docPr descr="" title="" id="15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0"/>
    <w:bookmarkStart w:id="176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1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1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1"/>
        </w:numPr>
        <w:pStyle w:val="Compact"/>
      </w:pPr>
      <w:r>
        <w:t xml:space="preserve">no real values (only</w:t>
      </w:r>
      <w:r>
        <w:t xml:space="preserve"> </w:t>
      </w:r>
      <w:hyperlink r:id="rId161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8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7">
              <w:r>
                <w:drawing>
                  <wp:inline>
                    <wp:extent cx="5334000" cy="4311650"/>
                    <wp:effectExtent b="0" l="0" r="0" t="0"/>
                    <wp:docPr descr="" title="" id="165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8"/>
    <w:bookmarkStart w:id="175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quadratic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4">
              <w:r>
                <w:drawing>
                  <wp:inline>
                    <wp:extent cx="5334000" cy="4311650"/>
                    <wp:effectExtent b="0" l="0" r="0" t="0"/>
                    <wp:docPr descr="" title="" id="172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6-1.png" id="17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75"/>
    <w:bookmarkEnd w:id="176"/>
    <w:bookmarkStart w:id="186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1.15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 to</w:t>
      </w:r>
      <w:r>
        <w:t xml:space="preserve"> </w:t>
      </w:r>
      <w:r>
        <w:t xml:space="preserve">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81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85">
              <w:r>
                <w:drawing>
                  <wp:inline>
                    <wp:extent cx="5334000" cy="4311650"/>
                    <wp:effectExtent b="0" l="0" r="0" t="0"/>
                    <wp:docPr descr="" title="" id="183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7-1.png" id="18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8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6"/>
    <w:bookmarkEnd w:id="187"/>
    <w:bookmarkStart w:id="202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93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92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92"/>
    <w:bookmarkEnd w:id="193"/>
    <w:bookmarkStart w:id="201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9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9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4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5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5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9">
              <w:r>
                <w:drawing>
                  <wp:inline>
                    <wp:extent cx="5334000" cy="4311650"/>
                    <wp:effectExtent b="0" l="0" r="0" t="0"/>
                    <wp:docPr descr="" title="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00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200"/>
    <w:bookmarkEnd w:id="201"/>
    <w:bookmarkEnd w:id="202"/>
    <w:bookmarkStart w:id="216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7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6">
              <w:r>
                <w:drawing>
                  <wp:inline>
                    <wp:extent cx="5334000" cy="4267200"/>
                    <wp:effectExtent b="0" l="0" r="0" t="0"/>
                    <wp:docPr descr="" title="" id="204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20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7"/>
    <w:bookmarkStart w:id="214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7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7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3">
              <w:r>
                <w:drawing>
                  <wp:inline>
                    <wp:extent cx="5334000" cy="4311650"/>
                    <wp:effectExtent b="0" l="0" r="0" t="0"/>
                    <wp:docPr descr="" title="" id="211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1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14"/>
    <w:bookmarkStart w:id="215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15"/>
    <w:bookmarkEnd w:id="216"/>
    <w:bookmarkStart w:id="237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7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24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1">
              <w:r>
                <w:drawing>
                  <wp:inline>
                    <wp:extent cx="5334000" cy="4267200"/>
                    <wp:effectExtent b="0" l="0" r="0" t="0"/>
                    <wp:docPr descr="" title="" id="219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2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8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24"/>
    <w:bookmarkStart w:id="231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5334000" cy="4267200"/>
                    <wp:effectExtent b="0" l="0" r="0" t="0"/>
                    <wp:docPr descr="" title="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31"/>
    <w:bookmarkStart w:id="236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5">
              <w:r>
                <w:drawing>
                  <wp:inline>
                    <wp:extent cx="5334000" cy="4311650"/>
                    <wp:effectExtent b="0" l="0" r="0" t="0"/>
                    <wp:docPr descr="" title="" id="23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6"/>
    <w:bookmarkEnd w:id="237"/>
    <w:bookmarkStart w:id="267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40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40"/>
    <w:bookmarkStart w:id="247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9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6">
              <w:r>
                <w:drawing>
                  <wp:inline>
                    <wp:extent cx="5334000" cy="4311650"/>
                    <wp:effectExtent b="0" l="0" r="0" t="0"/>
                    <wp:docPr descr="" title="" id="244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4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7"/>
    <w:bookmarkStart w:id="252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1">
              <w:r>
                <w:drawing>
                  <wp:inline>
                    <wp:extent cx="5334000" cy="4311650"/>
                    <wp:effectExtent b="0" l="0" r="0" t="0"/>
                    <wp:docPr descr="" title="" id="249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5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2"/>
    <w:bookmarkStart w:id="259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55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55"/>
    <w:bookmarkStart w:id="258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8"/>
    <w:bookmarkEnd w:id="259"/>
    <w:bookmarkStart w:id="266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End w:id="267"/>
    <w:bookmarkStart w:id="288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72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1">
              <w:r>
                <w:drawing>
                  <wp:inline>
                    <wp:extent cx="5334000" cy="4311650"/>
                    <wp:effectExtent b="0" l="0" r="0" t="0"/>
                    <wp:docPr descr="" title="" id="26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7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2"/>
    <w:bookmarkStart w:id="277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6">
              <w:r>
                <w:drawing>
                  <wp:inline>
                    <wp:extent cx="5334000" cy="4311650"/>
                    <wp:effectExtent b="0" l="0" r="0" t="0"/>
                    <wp:docPr descr="" title="" id="27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7"/>
    <w:bookmarkStart w:id="282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1">
              <w:r>
                <w:drawing>
                  <wp:inline>
                    <wp:extent cx="5334000" cy="4311650"/>
                    <wp:effectExtent b="0" l="0" r="0" t="0"/>
                    <wp:docPr descr="" title="" id="279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5-1.png" id="28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2"/>
    <w:bookmarkStart w:id="287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6">
              <w:r>
                <w:drawing>
                  <wp:inline>
                    <wp:extent cx="5334000" cy="4311650"/>
                    <wp:effectExtent b="0" l="0" r="0" t="0"/>
                    <wp:docPr descr="" title="" id="284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7-1.png" id="285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8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7"/>
    <w:bookmarkEnd w:id="2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108" Target="media/rId108.png" /><Relationship Type="http://schemas.openxmlformats.org/officeDocument/2006/relationships/image" Id="rId116" Target="media/rId116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4" Target="media/rId144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64" Target="media/rId164.png" /><Relationship Type="http://schemas.openxmlformats.org/officeDocument/2006/relationships/image" Id="rId171" Target="media/rId171.png" /><Relationship Type="http://schemas.openxmlformats.org/officeDocument/2006/relationships/image" Id="rId182" Target="media/rId182.png" /><Relationship Type="http://schemas.openxmlformats.org/officeDocument/2006/relationships/image" Id="rId196" Target="media/rId196.png" /><Relationship Type="http://schemas.openxmlformats.org/officeDocument/2006/relationships/image" Id="rId203" Target="media/rId203.png" /><Relationship Type="http://schemas.openxmlformats.org/officeDocument/2006/relationships/image" Id="rId210" Target="media/rId210.png" /><Relationship Type="http://schemas.openxmlformats.org/officeDocument/2006/relationships/image" Id="rId218" Target="media/rId218.png" /><Relationship Type="http://schemas.openxmlformats.org/officeDocument/2006/relationships/image" Id="rId225" Target="media/rId225.png" /><Relationship Type="http://schemas.openxmlformats.org/officeDocument/2006/relationships/image" Id="rId232" Target="media/rId232.png" /><Relationship Type="http://schemas.openxmlformats.org/officeDocument/2006/relationships/image" Id="rId243" Target="media/rId243.png" /><Relationship Type="http://schemas.openxmlformats.org/officeDocument/2006/relationships/image" Id="rId248" Target="media/rId248.png" /><Relationship Type="http://schemas.openxmlformats.org/officeDocument/2006/relationships/image" Id="rId262" Target="media/rId262.png" /><Relationship Type="http://schemas.openxmlformats.org/officeDocument/2006/relationships/image" Id="rId268" Target="media/rId268.png" /><Relationship Type="http://schemas.openxmlformats.org/officeDocument/2006/relationships/image" Id="rId273" Target="media/rId273.png" /><Relationship Type="http://schemas.openxmlformats.org/officeDocument/2006/relationships/image" Id="rId278" Target="media/rId278.png" /><Relationship Type="http://schemas.openxmlformats.org/officeDocument/2006/relationships/image" Id="rId283" Target="media/rId283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2" Target="media/rId82.png" /><Relationship Type="http://schemas.openxmlformats.org/officeDocument/2006/relationships/image" Id="rId20" Target="media/rId20.png" /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206" Target="https://www.desmos.com/calculator/ahtukw0jwz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s://en.wikipedia.org/wiki/Imaginary_number" TargetMode="External" /><Relationship Type="http://schemas.openxmlformats.org/officeDocument/2006/relationships/hyperlink" Id="rId281" Target="https://numbas.mathcentre.ac.uk/question/101423/differentiation-product-rule-6/embed/?token=95bdacf5-d008-407f-86b9-4605fa18c389" TargetMode="External" /><Relationship Type="http://schemas.openxmlformats.org/officeDocument/2006/relationships/hyperlink" Id="rId147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6" Target="https://numbas.mathcentre.ac.uk/question/104233/collect-like-terms/embed/?token=e5fdc25c-98a0-4df2-9a2f-45cc8a15b5f4" TargetMode="External" /><Relationship Type="http://schemas.openxmlformats.org/officeDocument/2006/relationships/hyperlink" Id="rId100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11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7" Target="https://numbas.mathcentre.ac.uk/question/105345/quadratics-solving-by-factorisation/embed/?token=84458480-2b4c-4902-9920-c43792afedcd" TargetMode="External" /><Relationship Type="http://schemas.openxmlformats.org/officeDocument/2006/relationships/hyperlink" Id="rId32" Target="https://numbas.mathcentre.ac.uk/question/125598/negative-numbers-multiplication-and-division/embed/" TargetMode="External" /><Relationship Type="http://schemas.openxmlformats.org/officeDocument/2006/relationships/hyperlink" Id="rId43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9" Target="https://numbas.mathcentre.ac.uk/question/126318/algebra-substitution/embed/?token=83a5d483-0d29-43d9-9569-f3b4d04ca26e" TargetMode="External" /><Relationship Type="http://schemas.openxmlformats.org/officeDocument/2006/relationships/hyperlink" Id="rId62" Target="https://numbas.mathcentre.ac.uk/question/127002/algebra-expanding-single-brackets/embed/?token=7f05cd3a-ac38-4f05-8866-e3fa3c6b280c" TargetMode="External" /><Relationship Type="http://schemas.openxmlformats.org/officeDocument/2006/relationships/hyperlink" Id="rId69" Target="https://numbas.mathcentre.ac.uk/question/127099/algebra-factorising-single-brackets/embed/?token=29498934-17cf-45ab-96cb-ab4a6d7523ed" TargetMode="External" /><Relationship Type="http://schemas.openxmlformats.org/officeDocument/2006/relationships/hyperlink" Id="rId77" Target="https://numbas.mathcentre.ac.uk/question/127104/algebra-cancelling-fractions/embed/?token=17a9a4e4-a12e-4563-affd-e77faf02f68e" TargetMode="External" /><Relationship Type="http://schemas.openxmlformats.org/officeDocument/2006/relationships/hyperlink" Id="rId213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65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35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74" Target="https://numbas.mathcentre.ac.uk/question/64345/quadratics-using-the-quadratic-formula/embed/?token=df746faf-a094-4dd6-8e2b-19ae44306fc8" TargetMode="External" /><Relationship Type="http://schemas.openxmlformats.org/officeDocument/2006/relationships/hyperlink" Id="rId159" Target="https://numbas.mathcentre.ac.uk/question/64384/quadratics-factorisation-1/embed/?token=1e79515a-591e-457e-afe3-d82103bb02e9" TargetMode="External" /><Relationship Type="http://schemas.openxmlformats.org/officeDocument/2006/relationships/hyperlink" Id="rId199" Target="https://numbas.mathcentre.ac.uk/question/64712/indices-change-of-notation-3/embed/?token=246845ab-e1ea-4745-9106-5750be81ed2c" TargetMode="External" /><Relationship Type="http://schemas.openxmlformats.org/officeDocument/2006/relationships/hyperlink" Id="rId185" Target="https://numbas.mathcentre.ac.uk/question/65155/simultaneous-equations-quadratics-1/embed/?token=582d176f-c880-4353-abdf-8f51e0c575b6" TargetMode="External" /><Relationship Type="http://schemas.openxmlformats.org/officeDocument/2006/relationships/hyperlink" Id="rId286" Target="https://numbas.mathcentre.ac.uk/question/67315/differentiation-quotient-rule-4/embed/?token=bce25b63-b091-4e64-811d-5e064743c9d4" TargetMode="External" /><Relationship Type="http://schemas.openxmlformats.org/officeDocument/2006/relationships/hyperlink" Id="rId271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23" Target="https://numbas.mathcentre.ac.uk/question/68532/linear-graphs-plotting-1-integer-values/embed/?token=c4963f30-f814-4d6f-91bc-b631f0ed1ec3" TargetMode="External" /><Relationship Type="http://schemas.openxmlformats.org/officeDocument/2006/relationships/hyperlink" Id="rId93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6" Target="https://numbas.mathcentre.ac.uk/question/91317/differentiation-chain-rule-3/embed/?token=0ac77949-e57a-40a4-9e69-200c7817cc9e" TargetMode="External" /><Relationship Type="http://schemas.openxmlformats.org/officeDocument/2006/relationships/hyperlink" Id="rId246" Target="https://numbas.mathcentre.ac.uk/question/98284/logarithms-simplifying-expressions-2/embed/?token=236a0071-445b-43bf-a8a9-9611b4dcb5ae" TargetMode="External" /><Relationship Type="http://schemas.openxmlformats.org/officeDocument/2006/relationships/hyperlink" Id="rId251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81" Target="https://www.desmos.com/calculator" TargetMode="External" /><Relationship Type="http://schemas.openxmlformats.org/officeDocument/2006/relationships/hyperlink" Id="rId135" Target="https://www.desmos.com/calculator/a3c9vcaede?embed" TargetMode="External" /><Relationship Type="http://schemas.openxmlformats.org/officeDocument/2006/relationships/hyperlink" Id="rId206" Target="https://www.desmos.com/calculator/ahtukw0jwz?embed" TargetMode="External" /><Relationship Type="http://schemas.openxmlformats.org/officeDocument/2006/relationships/hyperlink" Id="rId119" Target="https://www.desmos.com/calculator/jzyasdusre?embed" TargetMode="External" /><Relationship Type="http://schemas.openxmlformats.org/officeDocument/2006/relationships/hyperlink" Id="rId128" Target="https://www.desmos.com/calculator/llcrsdgmvo?embed" TargetMode="External" /><Relationship Type="http://schemas.openxmlformats.org/officeDocument/2006/relationships/hyperlink" Id="rId221" Target="https://www.desmos.com/calculator/u1nuc4eumz?embed" TargetMode="External" /><Relationship Type="http://schemas.openxmlformats.org/officeDocument/2006/relationships/hyperlink" Id="rId154" Target="https://www.desmos.com/calculator/ufd5zwqegu?embed" TargetMode="External" /><Relationship Type="http://schemas.openxmlformats.org/officeDocument/2006/relationships/hyperlink" Id="rId228" Target="https://www.desmos.com/calculator/uxvmkixg70?embed" TargetMode="External" /><Relationship Type="http://schemas.openxmlformats.org/officeDocument/2006/relationships/hyperlink" Id="rId139" Target="https://www.desmos.com/calculator/z9r3fkyrcf?embed" TargetMode="External" /><Relationship Type="http://schemas.openxmlformats.org/officeDocument/2006/relationships/hyperlink" Id="rId217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2022-09-26T10:26:42Z</dcterms:created>
  <dcterms:modified xsi:type="dcterms:W3CDTF">2022-09-26T10:26:42Z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