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2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43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</w:t>
      </w:r>
      <w:r>
        <w:rPr>
          <w:iCs/>
          <w:i/>
        </w:rPr>
        <w:t xml:space="preserve"> </w:t>
      </w:r>
      <w:r>
        <w:rPr>
          <w:iCs/>
          <w:i/>
        </w:rPr>
        <w:t xml:space="preserve">of the things which are in their nature excessively obvious and</w:t>
      </w:r>
      <w:r>
        <w:rPr>
          <w:iCs/>
          <w:i/>
        </w:rP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1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 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 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 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BodyText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 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">
              <w:r>
                <w:drawing>
                  <wp:inline>
                    <wp:extent cx="5334000" cy="4311650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1-1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0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0"/>
    <w:bookmarkEnd w:id="31"/>
    <w:bookmarkStart w:id="42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1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1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1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2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1">
              <w:r>
                <w:drawing>
                  <wp:inline>
                    <wp:extent cx="5334000" cy="4311650"/>
                    <wp:effectExtent b="0" l="0" r="0" t="0"/>
                    <wp:docPr descr="" title="" id="39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3-1.png" id="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Start w:id="4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45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p>
      <w:pPr>
        <w:pStyle w:val="BodyText"/>
      </w:pPr>
      <w:hyperlink r:id="rId44"/>
    </w:p>
    <w:bookmarkEnd w:id="45"/>
    <w:bookmarkStart w:id="4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p>
      <w:pPr>
        <w:pStyle w:val="BodyText"/>
      </w:pPr>
      <w:r>
        <w:t xml:space="preserve">Key point:</w:t>
      </w:r>
    </w:p>
    <w:p>
      <w:pPr>
        <w:pStyle w:val="BlockText"/>
      </w:pPr>
      <m:oMath>
        <m:r>
          <m:t>x</m:t>
        </m:r>
        <m:r>
          <m:rPr>
            <m:sty m:val="p"/>
          </m:rPr>
          <m:t>×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br/>
      </w:r>
      <m:oMath>
        <m:r>
          <m:t>x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br/>
      </w:r>
      <m:oMath>
        <m:r>
          <m:t>x</m:t>
        </m:r>
      </m:oMath>
      <w:r>
        <w:t xml:space="preserve"> </w:t>
      </w:r>
      <w:r>
        <w:t xml:space="preserve">is different from</w:t>
      </w:r>
      <w:r>
        <w:t xml:space="preserve"> </w:t>
      </w:r>
      <m:oMath>
        <m:r>
          <m:t>X</m:t>
        </m:r>
      </m:oMath>
      <w:r>
        <w:br/>
      </w:r>
      <m:oMath>
        <m:r>
          <m:t>1</m:t>
        </m:r>
        <m:r>
          <m:t>x</m:t>
        </m:r>
      </m:oMath>
      <w:r>
        <w:t xml:space="preserve"> </w:t>
      </w:r>
      <w:r>
        <w:t xml:space="preserve">is written as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Have a go at simplifying with these questions.</w:t>
      </w:r>
    </w:p>
    <w:p>
      <w:pPr>
        <w:pStyle w:val="BodyText"/>
      </w:pPr>
      <w:hyperlink r:id="rId46"/>
    </w:p>
    <w:bookmarkEnd w:id="47"/>
    <w:bookmarkEnd w:id="48"/>
    <w:bookmarkStart w:id="57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52" w:name="expanding"/>
    <w:p>
      <w:pPr>
        <w:pStyle w:val="Heading2"/>
      </w:pPr>
      <w:r>
        <w:t xml:space="preserve">3.1 Expanding</w:t>
      </w:r>
    </w:p>
    <w:bookmarkStart w:id="50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49"/>
    </w:p>
    <w:bookmarkEnd w:id="50"/>
    <w:bookmarkStart w:id="51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51"/>
    <w:bookmarkEnd w:id="52"/>
    <w:bookmarkStart w:id="56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54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p>
      <w:pPr>
        <w:pStyle w:val="BodyText"/>
      </w:pPr>
      <w:hyperlink r:id="rId53"/>
    </w:p>
    <w:bookmarkEnd w:id="54"/>
    <w:bookmarkStart w:id="55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55"/>
    <w:bookmarkEnd w:id="56"/>
    <w:bookmarkEnd w:id="57"/>
    <w:bookmarkStart w:id="65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4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60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58"/>
    </w:p>
    <w:bookmarkStart w:id="59" w:name="warning"/>
    <w:p>
      <w:pPr>
        <w:pStyle w:val="Heading4"/>
      </w:pPr>
      <w:r>
        <w:t xml:space="preserve">4.1.0.1 Warning!</w:t>
      </w:r>
    </w:p>
    <w:p>
      <w:pPr>
        <w:pStyle w:val="FirstParagraph"/>
      </w:pPr>
      <w:r>
        <w:t xml:space="preserve">It is tempting to want to make cancellations like this:</w:t>
      </w:r>
    </w:p>
    <w:p>
      <w:pPr>
        <w:pStyle w:val="BodyText"/>
      </w:pPr>
      <w:r>
        <w:t xml:space="preserve">$$
\begin{aligned} \frac{2x^2}{3x+7} &amp;= \frac{2x\cancel{x}}{3\cancel{x}+1} \\
&amp;= \frac{2x}{3+7} \\
&amp;= \frac{2x}{10} \\
&amp;= \frac{x}{5}
\end{aligned}
$$</w:t>
      </w:r>
    </w:p>
    <w:p>
      <w:pPr>
        <w:pStyle w:val="FirstParagraph"/>
      </w:pPr>
      <w:r>
        <w:t xml:space="preserve">However, please don’t do it, as it’s just plain wrong! Lets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substitute it into the original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 </w:t>
      </w:r>
      <w:r>
        <w:t xml:space="preserve">and into</w:t>
      </w:r>
      <w:r>
        <w:t xml:space="preserve"> </w:t>
      </w:r>
      <w:r>
        <w:t xml:space="preserve">incorrectly simplified version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</m:oMath>
      <w:r>
        <w:t xml:space="preserve">. If the algebra is correct</w:t>
      </w:r>
      <w:r>
        <w:t xml:space="preserve"> </w:t>
      </w:r>
      <w:r>
        <w:t xml:space="preserve">it should give the same answer.</w:t>
      </w:r>
    </w:p>
    <w:p>
      <w:pPr>
        <w:pStyle w:val="BodyText"/>
      </w:pPr>
      <w:r>
        <w:t xml:space="preserve">We claim: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3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but if we substitute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 both sides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9</m:t>
                    </m:r>
                  </m:num>
                  <m:den>
                    <m:r>
                      <m:t>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16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8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nonsense!</w:t>
      </w:r>
    </w:p>
    <w:bookmarkEnd w:id="59"/>
    <w:bookmarkEnd w:id="60"/>
    <w:bookmarkStart w:id="63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61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p>
      <w:pPr>
        <w:pStyle w:val="FirstParagraph"/>
      </w:pPr>
      <w:r>
        <w:rPr>
          <w:bCs/>
          <w:b/>
        </w:rPr>
        <w:t xml:space="preserve">Pro-tip</w:t>
      </w:r>
      <w:r>
        <w:t xml:space="preserve"> </w:t>
      </w:r>
      <w:r>
        <w:t xml:space="preserve">It is possible to cancel before multiplying. Here is the</w:t>
      </w:r>
      <w:r>
        <w:t xml:space="preserve"> </w:t>
      </w:r>
      <w:r>
        <w:t xml:space="preserve">same example revisited:</w:t>
      </w:r>
    </w:p>
    <w:p>
      <w:pPr>
        <w:pStyle w:val="BodyText"/>
      </w:pPr>
      <w:r>
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</w:r>
    </w:p>
    <w:p>
      <w:pPr>
        <w:pStyle w:val="FirstParagraph"/>
      </w:pPr>
      <w:r>
        <w:t xml:space="preserve">This can be super useful when dealing with large numbers or complex</w:t>
      </w:r>
      <w:r>
        <w:t xml:space="preserve"> </w:t>
      </w:r>
      <w:r>
        <w:t xml:space="preserve">algebraic fractions.</w:t>
      </w:r>
    </w:p>
    <w:bookmarkEnd w:id="61"/>
    <w:bookmarkStart w:id="62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62"/>
    <w:bookmarkEnd w:id="63"/>
    <w:bookmarkStart w:id="64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64"/>
    <w:bookmarkEnd w:id="65"/>
    <w:bookmarkStart w:id="76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70" w:name="linear-equations"/>
    <w:p>
      <w:pPr>
        <w:pStyle w:val="Heading2"/>
      </w:pPr>
      <w:r>
        <w:t xml:space="preserve">5.1 Linear equations</w:t>
      </w:r>
    </w:p>
    <w:bookmarkStart w:id="67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p>
      <w:pPr>
        <w:pStyle w:val="BodyText"/>
      </w:pPr>
      <w:hyperlink r:id="rId66"/>
    </w:p>
    <w:bookmarkEnd w:id="67"/>
    <w:bookmarkStart w:id="69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p>
      <w:pPr>
        <w:pStyle w:val="BodyText"/>
      </w:pPr>
      <w:hyperlink r:id="rId68"/>
    </w:p>
    <w:bookmarkEnd w:id="69"/>
    <w:bookmarkEnd w:id="70"/>
    <w:bookmarkStart w:id="71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Remember the following key point when using inequalities:</w:t>
      </w:r>
    </w:p>
    <w:p>
      <w:pPr>
        <w:pStyle w:val="BlockText"/>
      </w:pPr>
      <w:r>
        <w:t xml:space="preserve">When multiplying or dividing by a negative number change the direction</w:t>
      </w:r>
      <w:r>
        <w:t xml:space="preserve"> </w:t>
      </w:r>
      <w:r>
        <w:t xml:space="preserve">of the inequality.</w:t>
      </w:r>
    </w:p>
    <w:bookmarkEnd w:id="71"/>
    <w:bookmarkStart w:id="75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73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p>
      <w:pPr>
        <w:pStyle w:val="BodyText"/>
      </w:pPr>
      <w:hyperlink r:id="rId72"/>
    </w:p>
    <w:bookmarkEnd w:id="73"/>
    <w:bookmarkStart w:id="74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4"/>
    <w:bookmarkEnd w:id="75"/>
    <w:bookmarkEnd w:id="76"/>
    <w:bookmarkStart w:id="87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79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p>
      <w:pPr>
        <w:pStyle w:val="BodyText"/>
      </w:pPr>
      <w:r>
        <w:t xml:space="preserve">$$
\begin{array} {|r|r|}\hline x &amp; y \\ \hline 0 &amp; \frac{1}{2}(0)+1=1 \\
\hline 1 &amp; \frac{1}{2}(1)+1=1.5 \\
\hline 2 &amp; \frac{1}{2}(2)+1=2 \\ \hline  \end{array}
$$</w:t>
      </w:r>
    </w:p>
    <w:p>
      <w:pPr>
        <w:pStyle w:val="FirstParagraph"/>
      </w:pPr>
      <w:r>
        <w:t xml:space="preserve">Once we have these values they can be plotted on graph.</w:t>
      </w:r>
    </w:p>
    <w:p>
      <w:pPr>
        <w:pStyle w:val="BodyText"/>
      </w:pPr>
      <w:hyperlink r:id="rId77"/>
    </w:p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p>
      <w:pPr>
        <w:pStyle w:val="BodyText"/>
      </w:pPr>
      <w:hyperlink r:id="rId78"/>
    </w:p>
    <w:bookmarkEnd w:id="79"/>
    <w:bookmarkStart w:id="86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81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p>
      <w:pPr>
        <w:pStyle w:val="BodyText"/>
      </w:pPr>
      <w:hyperlink r:id="rId80"/>
    </w:p>
    <w:bookmarkEnd w:id="81"/>
    <w:bookmarkStart w:id="85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A change in a quantity is often represented by the Greek</w:t>
      </w:r>
      <w:r>
        <w:t xml:space="preserve"> </w:t>
      </w:r>
      <w:r>
        <w:t xml:space="preserve">letter delta,</w:t>
      </w:r>
      <w:r>
        <w:t xml:space="preserve"> </w:t>
      </w:r>
      <m:oMath>
        <m:r>
          <m:t>Δ</m:t>
        </m:r>
      </m:oMath>
      <w:r>
        <w:t xml:space="preserve">, so we can rewrite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as: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r>
              <m:t>y</m:t>
            </m:r>
          </m:num>
          <m:den>
            <m:r>
              <m:t>Δ</m:t>
            </m:r>
            <m:r>
              <m:t>x</m:t>
            </m:r>
          </m:den>
        </m:f>
      </m:oMath>
    </w:p>
    <w:p>
      <w:pPr>
        <w:pStyle w:val="BodyText"/>
      </w:pPr>
      <w:hyperlink r:id="rId82"/>
    </w:p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p>
      <w:pPr>
        <w:pStyle w:val="BodyText"/>
      </w:pPr>
      <w:hyperlink r:id="rId83"/>
    </w:p>
    <w:p>
      <w:pPr>
        <w:pStyle w:val="BodyText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p>
      <w:pPr>
        <w:pStyle w:val="BodyText"/>
      </w:pPr>
      <w:hyperlink r:id="rId84"/>
    </w:p>
    <w:bookmarkEnd w:id="85"/>
    <w:bookmarkEnd w:id="86"/>
    <w:bookmarkEnd w:id="87"/>
    <w:bookmarkStart w:id="101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p>
      <w:pPr>
        <w:pStyle w:val="BodyText"/>
      </w:pPr>
      <w:hyperlink r:id="rId88"/>
    </w:p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89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  <w:r>
        <w:t xml:space="preserve"> </w:t>
      </w:r>
      <w:r>
        <w:rPr>
          <w:bCs/>
          <w:b/>
        </w:rPr>
        <w:t xml:space="preserve">NEED to create on NUMBAS placeholder</w:t>
      </w:r>
      <w:r>
        <w:rPr>
          <w:bCs/>
          <w:b/>
        </w:rPr>
        <w:t xml:space="preserve"> </w:t>
      </w:r>
      <w:r>
        <w:rPr>
          <w:bCs/>
          <w:b/>
        </w:rPr>
        <w:t xml:space="preserve">only</w:t>
      </w:r>
    </w:p>
    <w:p>
      <w:pPr>
        <w:pStyle w:val="BodyText"/>
      </w:pPr>
      <w:hyperlink r:id="rId44"/>
    </w:p>
    <w:bookmarkEnd w:id="89"/>
    <w:bookmarkStart w:id="91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90"/>
    </w:p>
    <w:bookmarkEnd w:id="91"/>
    <w:bookmarkStart w:id="97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05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05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05"/>
        </w:numPr>
        <w:pStyle w:val="Compact"/>
      </w:pPr>
      <w:r>
        <w:t xml:space="preserve">no real values (only</w:t>
      </w:r>
      <w:r>
        <w:t xml:space="preserve"> </w:t>
      </w:r>
      <w:hyperlink r:id="rId92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94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We can quickly get from the factorised quadratic to the</w:t>
      </w:r>
      <w:r>
        <w:t xml:space="preserve"> </w:t>
      </w:r>
      <w:r>
        <w:t xml:space="preserve">solutions by</w:t>
      </w:r>
      <w:r>
        <w:t xml:space="preserve"> </w:t>
      </w:r>
      <w:r>
        <w:rPr>
          <w:iCs/>
          <w:i/>
        </w:rPr>
        <w:t xml:space="preserve">flipping</w:t>
      </w:r>
      <w:r>
        <w:t xml:space="preserve"> </w:t>
      </w:r>
      <w:r>
        <w:t xml:space="preserve">the signs in the bracket.</w:t>
      </w:r>
    </w:p>
    <w:p>
      <w:pPr>
        <w:pStyle w:val="BodyText"/>
      </w:pPr>
      <w:r>
        <w:t xml:space="preserve">Try some questions.</w:t>
      </w:r>
    </w:p>
    <w:p>
      <w:pPr>
        <w:pStyle w:val="BodyText"/>
      </w:pPr>
      <w:hyperlink r:id="rId93"/>
    </w:p>
    <w:bookmarkEnd w:id="94"/>
    <w:bookmarkStart w:id="96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Pro tip</w:t>
      </w:r>
      <w:r>
        <w:t xml:space="preserve"> </w:t>
      </w:r>
      <w:r>
        <w:t xml:space="preserve">Notice the use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It is common in maths to</w:t>
      </w:r>
      <w:r>
        <w:t xml:space="preserve"> </w:t>
      </w:r>
      <w:r>
        <w:t xml:space="preserve">use subscript numbers to show different particular values of the same</w:t>
      </w:r>
      <w:r>
        <w:t xml:space="preserve"> </w:t>
      </w:r>
      <w:r>
        <w:t xml:space="preserve">variable. That’s all it’s doing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just a value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named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just a value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named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hyperlink r:id="rId95"/>
    </w:p>
    <w:bookmarkEnd w:id="96"/>
    <w:bookmarkEnd w:id="97"/>
    <w:bookmarkStart w:id="100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There are a few things to be careful of here:</w:t>
      </w:r>
    </w:p>
    <w:p>
      <w:pPr>
        <w:numPr>
          <w:ilvl w:val="0"/>
          <w:numId w:val="1006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was expanded as a pair of brackets,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before</w:t>
      </w:r>
      <w:r>
        <w:t xml:space="preserve"> </w:t>
      </w:r>
      <w:r>
        <w:t xml:space="preserve">being multiplied by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finial stage was to make the equation equal zero so we can use</w:t>
      </w:r>
      <w:r>
        <w:t xml:space="preserve"> </w:t>
      </w:r>
      <w:r>
        <w:t xml:space="preserve">the quadratic formula.</w:t>
      </w:r>
    </w:p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notice our answers look a lot like co-ordinates on a graph.</w:t>
      </w:r>
      <w:r>
        <w:t xml:space="preserve"> </w:t>
      </w:r>
      <w:r>
        <w:t xml:space="preserve">That’s because they are. If you plot the lines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on the same graph (don’t do this by hand! Use something</w:t>
      </w:r>
      <w:r>
        <w:t xml:space="preserve"> </w:t>
      </w:r>
      <w:r>
        <w:t xml:space="preserve">like</w:t>
      </w:r>
      <w:r>
        <w:t xml:space="preserve"> </w:t>
      </w:r>
      <w:hyperlink r:id="rId98">
        <w:r>
          <w:rPr>
            <w:rStyle w:val="Hyperlink"/>
          </w:rPr>
          <w:t xml:space="preserve">desmos</w:t>
        </w:r>
      </w:hyperlink>
      <w:r>
        <w:t xml:space="preserve">) the places where the</w:t>
      </w:r>
      <w:r>
        <w:t xml:space="preserve"> </w:t>
      </w:r>
      <w:r>
        <w:t xml:space="preserve">two lines cross will correspond with our answers.</w:t>
      </w:r>
    </w:p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p>
      <w:pPr>
        <w:pStyle w:val="BodyText"/>
      </w:pPr>
      <w:hyperlink r:id="rId99"/>
    </w:p>
    <w:bookmarkEnd w:id="100"/>
    <w:bookmarkEnd w:id="101"/>
    <w:bookmarkStart w:id="107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03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p>
      <w:pPr>
        <w:pStyle w:val="BlockTex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except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then it’s undefined</w:t>
      </w:r>
      <w:r>
        <w:br/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br/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p>
      <w:pPr>
        <w:pStyle w:val="FirstParagraph"/>
      </w:pPr>
      <w:r>
        <w:rPr>
          <w:bCs/>
          <w:b/>
        </w:rPr>
        <w:t xml:space="preserve">Pro tip</w:t>
      </w:r>
      <w:r>
        <w:t xml:space="preserve"> </w:t>
      </w:r>
      <w:r>
        <w:t xml:space="preserve">When taking square roots remember there are two possible</w:t>
      </w:r>
      <w:r>
        <w:t xml:space="preserve"> </w:t>
      </w:r>
      <w:r>
        <w:t xml:space="preserve">solutions. Since in the above example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. So either answer is just fine.</w:t>
      </w:r>
    </w:p>
    <w:bookmarkStart w:id="102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02"/>
    <w:bookmarkEnd w:id="103"/>
    <w:bookmarkStart w:id="106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p>
      <w:pPr>
        <w:pStyle w:val="BlockText"/>
      </w:pP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br/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÷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br/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</w:p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07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p>
      <w:pPr>
        <w:pStyle w:val="BodyText"/>
      </w:pPr>
      <w:hyperlink r:id="rId104"/>
    </w:p>
    <w:bookmarkStart w:id="105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05"/>
    <w:bookmarkEnd w:id="106"/>
    <w:bookmarkEnd w:id="107"/>
    <w:bookmarkStart w:id="108" w:name="exponetial-function"/>
    <w:p>
      <w:pPr>
        <w:pStyle w:val="Heading1"/>
      </w:pPr>
      <w:r>
        <w:t xml:space="preserve">9. Exponetial function</w:t>
      </w:r>
    </w:p>
    <w:bookmarkEnd w:id="108"/>
    <w:bookmarkStart w:id="111" w:name="logarithms"/>
    <w:p>
      <w:pPr>
        <w:pStyle w:val="Heading1"/>
      </w:pPr>
      <w:r>
        <w:t xml:space="preserve">10. Logarithms</w:t>
      </w:r>
    </w:p>
    <w:bookmarkStart w:id="109" w:name="reverse-of-indices"/>
    <w:p>
      <w:pPr>
        <w:pStyle w:val="Heading2"/>
      </w:pPr>
      <w:r>
        <w:t xml:space="preserve">10.1 Reverse of indices</w:t>
      </w:r>
    </w:p>
    <w:bookmarkEnd w:id="109"/>
    <w:bookmarkStart w:id="110" w:name="rules-of-logarithms"/>
    <w:p>
      <w:pPr>
        <w:pStyle w:val="Heading2"/>
      </w:pPr>
      <w:r>
        <w:t xml:space="preserve">10.2 Rules of logarithms</w:t>
      </w:r>
    </w:p>
    <w:bookmarkEnd w:id="110"/>
    <w:bookmarkEnd w:id="111"/>
    <w:bookmarkStart w:id="112" w:name="differentiation"/>
    <w:p>
      <w:pPr>
        <w:pStyle w:val="Heading1"/>
      </w:pPr>
      <w:r>
        <w:t xml:space="preserve">11.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 that will give us a rule (a new function) to</w:t>
      </w:r>
      <w:r>
        <w:t xml:space="preserve"> </w:t>
      </w:r>
      <w:r>
        <w:t xml:space="preserve">work out the gradient at any point on the curve.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5" Target="media/rId35.png" /><Relationship Type="http://schemas.openxmlformats.org/officeDocument/2006/relationships/hyperlink" Id="rId92" Target="https://en.wikipedia.org/wiki/Imaginary_number" TargetMode="External" /><Relationship Type="http://schemas.openxmlformats.org/officeDocument/2006/relationships/hyperlink" Id="rId84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46" Target="https://numbas.mathcentre.ac.uk/question/104233/collect-like-terms/embed/?token=e5fdc25c-98a0-4df2-9a2f-45cc8a15b5f4" TargetMode="External" /><Relationship Type="http://schemas.openxmlformats.org/officeDocument/2006/relationships/hyperlink" Id="rId6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72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93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4" Target="https://numbas.mathcentre.ac.uk/question/126318/algebra-substitution/embed/?token=83a5d483-0d29-43d9-9569-f3b4d04ca26e" TargetMode="External" /><Relationship Type="http://schemas.openxmlformats.org/officeDocument/2006/relationships/hyperlink" Id="rId49" Target="https://numbas.mathcentre.ac.uk/question/127002/algebra-expanding-single-brackets/embed/?token=7f05cd3a-ac38-4f05-8866-e3fa3c6b280c" TargetMode="External" /><Relationship Type="http://schemas.openxmlformats.org/officeDocument/2006/relationships/hyperlink" Id="rId53" Target="https://numbas.mathcentre.ac.uk/question/127099/algebra-factorising-single-brackets/embed/?token=29498934-17cf-45ab-96cb-ab4a6d7523ed" TargetMode="External" /><Relationship Type="http://schemas.openxmlformats.org/officeDocument/2006/relationships/hyperlink" Id="rId58" Target="https://numbas.mathcentre.ac.uk/question/127104/algebra-cancelling-fractions/embed/?token=17a9a4e4-a12e-4563-affd-e77faf02f68e" TargetMode="External" /><Relationship Type="http://schemas.openxmlformats.org/officeDocument/2006/relationships/hyperlink" Id="rId95" Target="https://numbas.mathcentre.ac.uk/question/64345/quadratics-using-the-quadratic-formula/embed/?token=df746faf-a094-4dd6-8e2b-19ae44306fc8" TargetMode="External" /><Relationship Type="http://schemas.openxmlformats.org/officeDocument/2006/relationships/hyperlink" Id="rId90" Target="https://numbas.mathcentre.ac.uk/question/64384/quadratics-factorisation-1/embed/?token=1e79515a-591e-457e-afe3-d82103bb02e9" TargetMode="External" /><Relationship Type="http://schemas.openxmlformats.org/officeDocument/2006/relationships/hyperlink" Id="rId104" Target="https://numbas.mathcentre.ac.uk/question/64712/indices-change-of-notation-3/embed/?token=246845ab-e1ea-4745-9106-5750be81ed2c" TargetMode="External" /><Relationship Type="http://schemas.openxmlformats.org/officeDocument/2006/relationships/hyperlink" Id="rId99" Target="https://numbas.mathcentre.ac.uk/question/65155/simultaneous-equations-quadratics-1/embed/?token=582d176f-c880-4353-abdf-8f51e0c575b6" TargetMode="External" /><Relationship Type="http://schemas.openxmlformats.org/officeDocument/2006/relationships/hyperlink" Id="rId78" Target="https://numbas.mathcentre.ac.uk/question/68532/linear-graphs-plotting-1-integer-values/embed/?token=c4963f30-f814-4d6f-91bc-b631f0ed1ec3" TargetMode="External" /><Relationship Type="http://schemas.openxmlformats.org/officeDocument/2006/relationships/hyperlink" Id="rId66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98" Target="https://www.desmos.com/calculator" TargetMode="External" /><Relationship Type="http://schemas.openxmlformats.org/officeDocument/2006/relationships/hyperlink" Id="rId82" Target="https://www.desmos.com/calculator/a3c9vcaede?embed" TargetMode="External" /><Relationship Type="http://schemas.openxmlformats.org/officeDocument/2006/relationships/hyperlink" Id="rId77" Target="https://www.desmos.com/calculator/jzyasdusre?embed" TargetMode="External" /><Relationship Type="http://schemas.openxmlformats.org/officeDocument/2006/relationships/hyperlink" Id="rId80" Target="https://www.desmos.com/calculator/llcrsdgmvo?embed" TargetMode="External" /><Relationship Type="http://schemas.openxmlformats.org/officeDocument/2006/relationships/hyperlink" Id="rId88" Target="https://www.desmos.com/calculator/ufd5zwqegu?embed" TargetMode="External" /><Relationship Type="http://schemas.openxmlformats.org/officeDocument/2006/relationships/hyperlink" Id="rId83" Target="https://www.desmos.com/calculator/z9r3fkyrcf?emb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n.wikipedia.org/wiki/Imaginary_number" TargetMode="External" /><Relationship Type="http://schemas.openxmlformats.org/officeDocument/2006/relationships/hyperlink" Id="rId84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46" Target="https://numbas.mathcentre.ac.uk/question/104233/collect-like-terms/embed/?token=e5fdc25c-98a0-4df2-9a2f-45cc8a15b5f4" TargetMode="External" /><Relationship Type="http://schemas.openxmlformats.org/officeDocument/2006/relationships/hyperlink" Id="rId6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72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93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4" Target="https://numbas.mathcentre.ac.uk/question/126318/algebra-substitution/embed/?token=83a5d483-0d29-43d9-9569-f3b4d04ca26e" TargetMode="External" /><Relationship Type="http://schemas.openxmlformats.org/officeDocument/2006/relationships/hyperlink" Id="rId49" Target="https://numbas.mathcentre.ac.uk/question/127002/algebra-expanding-single-brackets/embed/?token=7f05cd3a-ac38-4f05-8866-e3fa3c6b280c" TargetMode="External" /><Relationship Type="http://schemas.openxmlformats.org/officeDocument/2006/relationships/hyperlink" Id="rId53" Target="https://numbas.mathcentre.ac.uk/question/127099/algebra-factorising-single-brackets/embed/?token=29498934-17cf-45ab-96cb-ab4a6d7523ed" TargetMode="External" /><Relationship Type="http://schemas.openxmlformats.org/officeDocument/2006/relationships/hyperlink" Id="rId58" Target="https://numbas.mathcentre.ac.uk/question/127104/algebra-cancelling-fractions/embed/?token=17a9a4e4-a12e-4563-affd-e77faf02f68e" TargetMode="External" /><Relationship Type="http://schemas.openxmlformats.org/officeDocument/2006/relationships/hyperlink" Id="rId95" Target="https://numbas.mathcentre.ac.uk/question/64345/quadratics-using-the-quadratic-formula/embed/?token=df746faf-a094-4dd6-8e2b-19ae44306fc8" TargetMode="External" /><Relationship Type="http://schemas.openxmlformats.org/officeDocument/2006/relationships/hyperlink" Id="rId90" Target="https://numbas.mathcentre.ac.uk/question/64384/quadratics-factorisation-1/embed/?token=1e79515a-591e-457e-afe3-d82103bb02e9" TargetMode="External" /><Relationship Type="http://schemas.openxmlformats.org/officeDocument/2006/relationships/hyperlink" Id="rId104" Target="https://numbas.mathcentre.ac.uk/question/64712/indices-change-of-notation-3/embed/?token=246845ab-e1ea-4745-9106-5750be81ed2c" TargetMode="External" /><Relationship Type="http://schemas.openxmlformats.org/officeDocument/2006/relationships/hyperlink" Id="rId99" Target="https://numbas.mathcentre.ac.uk/question/65155/simultaneous-equations-quadratics-1/embed/?token=582d176f-c880-4353-abdf-8f51e0c575b6" TargetMode="External" /><Relationship Type="http://schemas.openxmlformats.org/officeDocument/2006/relationships/hyperlink" Id="rId78" Target="https://numbas.mathcentre.ac.uk/question/68532/linear-graphs-plotting-1-integer-values/embed/?token=c4963f30-f814-4d6f-91bc-b631f0ed1ec3" TargetMode="External" /><Relationship Type="http://schemas.openxmlformats.org/officeDocument/2006/relationships/hyperlink" Id="rId66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98" Target="https://www.desmos.com/calculator" TargetMode="External" /><Relationship Type="http://schemas.openxmlformats.org/officeDocument/2006/relationships/hyperlink" Id="rId82" Target="https://www.desmos.com/calculator/a3c9vcaede?embed" TargetMode="External" /><Relationship Type="http://schemas.openxmlformats.org/officeDocument/2006/relationships/hyperlink" Id="rId77" Target="https://www.desmos.com/calculator/jzyasdusre?embed" TargetMode="External" /><Relationship Type="http://schemas.openxmlformats.org/officeDocument/2006/relationships/hyperlink" Id="rId80" Target="https://www.desmos.com/calculator/llcrsdgmvo?embed" TargetMode="External" /><Relationship Type="http://schemas.openxmlformats.org/officeDocument/2006/relationships/hyperlink" Id="rId88" Target="https://www.desmos.com/calculator/ufd5zwqegu?embed" TargetMode="External" /><Relationship Type="http://schemas.openxmlformats.org/officeDocument/2006/relationships/hyperlink" Id="rId83" Target="https://www.desmos.com/calculator/z9r3fkyrcf?emb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2022-09-11T12:53:54Z</dcterms:created>
  <dcterms:modified xsi:type="dcterms:W3CDTF">2022-09-11T12:53:54Z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