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png" ContentType="image/png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24.png" ContentType="image/png"/>
  <Override PartName="/word/media/rId128.png" ContentType="image/png"/>
  <Override PartName="/word/media/rId133.png" ContentType="image/png"/>
  <Override PartName="/word/media/rId140.png" ContentType="image/png"/>
  <Override PartName="/word/media/rId144.png" ContentType="image/png"/>
  <Override PartName="/word/media/rId152.png" ContentType="image/png"/>
  <Override PartName="/word/media/rId159.png" ContentType="image/png"/>
  <Override PartName="/word/media/rId164.png" ContentType="image/png"/>
  <Override PartName="/word/media/rId172.png" ContentType="image/png"/>
  <Override PartName="/word/media/rId179.png" ContentType="image/png"/>
  <Override PartName="/word/media/rId190.png" ContentType="image/png"/>
  <Override PartName="/word/media/rId204.png" ContentType="image/png"/>
  <Override PartName="/word/media/rId211.png" ContentType="image/png"/>
  <Override PartName="/word/media/rId218.png" ContentType="image/png"/>
  <Override PartName="/word/media/rId226.png" ContentType="image/png"/>
  <Override PartName="/word/media/rId233.png" ContentType="image/png"/>
  <Override PartName="/word/media/rId240.png" ContentType="image/png"/>
  <Override PartName="/word/media/rId251.png" ContentType="image/png"/>
  <Override PartName="/word/media/rId256.png" ContentType="image/png"/>
  <Override PartName="/word/media/rId270.png" ContentType="image/png"/>
  <Override PartName="/word/media/rId276.png" ContentType="image/png"/>
  <Override PartName="/word/media/rId281.png" ContentType="image/png"/>
  <Override PartName="/word/media/rId286.png" ContentType="image/png"/>
  <Override PartName="/word/media/rId291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23" w:name="reading-mathematics"/>
    <w:p>
      <w:pPr>
        <w:pStyle w:val="Heading1"/>
      </w:pPr>
      <w:r>
        <w:t xml:space="preserve">6. Reading mathematics</w:t>
      </w:r>
    </w:p>
    <w:p>
      <w:pPr>
        <w:pStyle w:val="FirstParagraph"/>
      </w:pPr>
      <w:r>
        <w:t xml:space="preserve">This section looks at common notation used when writing mathematics</w:t>
      </w:r>
      <w:r>
        <w:t xml:space="preserve"> </w:t>
      </w:r>
      <w:r>
        <w:t xml:space="preserve">using formal notation - read it now or come back to it once you’ve done</w:t>
      </w:r>
      <w:r>
        <w:t xml:space="preserve"> </w:t>
      </w:r>
      <w:r>
        <w:t xml:space="preserve">a bit of</w:t>
      </w:r>
      <w:r>
        <w:t xml:space="preserve"> </w:t>
      </w:r>
      <w:r>
        <w:rPr>
          <w:iCs/>
          <w:i/>
        </w:rPr>
        <w:t xml:space="preserve">real maths</w:t>
      </w:r>
      <w:r>
        <w:t xml:space="preserve">. You could even use it as a glossary, come back to</w:t>
      </w:r>
      <w:r>
        <w:t xml:space="preserve"> </w:t>
      </w:r>
      <w:r>
        <w:t xml:space="preserve">it and look stuff up if you need to.</w:t>
      </w:r>
    </w:p>
    <w:p>
      <w:pPr>
        <w:pStyle w:val="BodyText"/>
      </w:pPr>
      <w:r>
        <w:t xml:space="preserve">Sometimes looking at a piece of mathematics can feel like looking at</w:t>
      </w:r>
      <w:r>
        <w:t xml:space="preserve"> </w:t>
      </w:r>
      <w:r>
        <w:t xml:space="preserve">another language. If you feel that way don’t worry, that’s normal. It’s</w:t>
      </w:r>
      <w:r>
        <w:t xml:space="preserve"> </w:t>
      </w:r>
      <w:r>
        <w:t xml:space="preserve">worth remembering these things: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Written mathematics is dense.</w:t>
      </w:r>
      <w:r>
        <w:t xml:space="preserve"> </w:t>
      </w:r>
      <w:r>
        <w:t xml:space="preserve">A lot of concepts can be expressed</w:t>
      </w:r>
      <w:r>
        <w:t xml:space="preserve"> </w:t>
      </w:r>
      <w:r>
        <w:t xml:space="preserve">with very few symbols. Don’t worry if it takes you a while to</w:t>
      </w:r>
      <w:r>
        <w:t xml:space="preserve"> </w:t>
      </w:r>
      <w:r>
        <w:t xml:space="preserve">understand what they mean - that’s totally normal. It’s also a good</w:t>
      </w:r>
      <w:r>
        <w:t xml:space="preserve"> </w:t>
      </w:r>
      <w:r>
        <w:t xml:space="preserve">idea to get a pen and paper out and</w:t>
      </w:r>
      <w:r>
        <w:t xml:space="preserve"> </w:t>
      </w:r>
      <w:r>
        <w:rPr>
          <w:iCs/>
          <w:i/>
        </w:rPr>
        <w:t xml:space="preserve">play</w:t>
      </w:r>
      <w:r>
        <w:t xml:space="preserve"> </w:t>
      </w:r>
      <w:r>
        <w:t xml:space="preserve">with the concepts being</w:t>
      </w:r>
      <w:r>
        <w:t xml:space="preserve"> </w:t>
      </w:r>
      <w:r>
        <w:t xml:space="preserve">expressed.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Understanding notation takes time.</w:t>
      </w:r>
      <w:r>
        <w:t xml:space="preserve"> </w:t>
      </w:r>
      <w:r>
        <w:t xml:space="preserve">At first it can seem</w:t>
      </w:r>
      <w:r>
        <w:t xml:space="preserve"> </w:t>
      </w:r>
      <w:r>
        <w:t xml:space="preserve">unnecessary and needlessly complicated to introduce new symbols.</w:t>
      </w:r>
      <w:r>
        <w:t xml:space="preserve"> </w:t>
      </w:r>
      <w:r>
        <w:t xml:space="preserve">However, once you’ve mastered using these symbols you will gain a</w:t>
      </w:r>
      <w:r>
        <w:t xml:space="preserve"> </w:t>
      </w:r>
      <w:r>
        <w:t xml:space="preserve">new perspective on the concepts your studying.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Practice helps.</w:t>
      </w:r>
      <w:r>
        <w:t xml:space="preserve"> </w:t>
      </w:r>
      <w:r>
        <w:t xml:space="preserve">Maths is an active subject, take the time to do</w:t>
      </w:r>
      <w:r>
        <w:t xml:space="preserve"> </w:t>
      </w:r>
      <w:r>
        <w:t xml:space="preserve">some questions. Don’t be content to read the notes and watch the</w:t>
      </w:r>
      <w:r>
        <w:t xml:space="preserve"> </w:t>
      </w:r>
      <w:r>
        <w:t xml:space="preserve">videos. It’s also worth trying to work through examples in your</w:t>
      </w:r>
      <w:r>
        <w:t xml:space="preserve"> </w:t>
      </w:r>
      <w:r>
        <w:t xml:space="preserve">lecture notes alone, even if you’ve seen the answer before, getting</w:t>
      </w:r>
      <w:r>
        <w:t xml:space="preserve"> </w:t>
      </w:r>
      <w:r>
        <w:t xml:space="preserve">to it yourself will be good practice.</w:t>
      </w:r>
    </w:p>
    <w:bookmarkStart w:id="116" w:name="common-symbols"/>
    <w:p>
      <w:pPr>
        <w:pStyle w:val="Heading2"/>
      </w:pPr>
      <w:r>
        <w:t xml:space="preserve">6.1 Common symbols</w:t>
      </w:r>
    </w:p>
    <w:p>
      <w:pPr>
        <w:pStyle w:val="FirstParagraph"/>
      </w:pPr>
      <w:r>
        <w:t xml:space="preserve">These symbols can turn up in mathematical explanations.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therefore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because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 equal</w:t>
            </w:r>
          </w:p>
        </w:tc>
      </w:tr>
    </w:tbl>
    <w:bookmarkEnd w:id="116"/>
    <w:bookmarkStart w:id="122" w:name="sets"/>
    <w:p>
      <w:pPr>
        <w:pStyle w:val="Heading2"/>
      </w:pPr>
      <w:r>
        <w:t xml:space="preserve">6.2 Sets</w:t>
      </w:r>
    </w:p>
    <w:p>
      <w:pPr>
        <w:pStyle w:val="FirstParagraph"/>
      </w:pPr>
      <w:r>
        <w:t xml:space="preserve">A set is a collection of elements (things). Sets are defined using</w:t>
      </w:r>
      <w:r>
        <w:t xml:space="preserve"> </w:t>
      </w:r>
      <w:r>
        <w:rPr>
          <w:iCs/>
          <w:i/>
        </w:rPr>
        <w:t xml:space="preserve">curly brackets</w:t>
      </w:r>
      <w:r>
        <w:t xml:space="preserve"> </w:t>
      </w:r>
      <w:r>
        <w:t xml:space="preserve">or braces</w:t>
      </w:r>
      <w:r>
        <w:t xml:space="preserve"> </w:t>
      </w:r>
      <m:oMath>
        <m:r>
          <m:rPr>
            <m:sty m:val="p"/>
          </m:rPr>
          <m:t>{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}</m:t>
        </m:r>
      </m:oMath>
      <w:r>
        <w:t xml:space="preserve">. Capital letters are often used</w:t>
      </w:r>
      <w:r>
        <w:t xml:space="preserve"> </w:t>
      </w:r>
      <w:r>
        <w:t xml:space="preserve">as names of sets. Here is the set of the 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(the</w:t>
      </w:r>
      <w:r>
        <w:t xml:space="preserve"> </w:t>
      </w:r>
      <w:r>
        <w:t xml:space="preserve">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numbers in the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times table):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,</m:t>
          </m:r>
          <m:r>
            <m:t>9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When sets are small it’s ok just to write down all the elements of the</w:t>
      </w:r>
      <w:r>
        <w:t xml:space="preserve"> </w:t>
      </w:r>
      <w:r>
        <w:t xml:space="preserve">set. However if I wanted to write down all of the 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I</w:t>
      </w:r>
      <w:r>
        <w:t xml:space="preserve"> </w:t>
      </w:r>
      <w:r>
        <w:t xml:space="preserve">would be in trouble. This is when we use</w:t>
      </w:r>
      <w:r>
        <w:t xml:space="preserve"> </w:t>
      </w:r>
      <w:r>
        <w:rPr>
          <w:bCs/>
          <w:b/>
        </w:rPr>
        <w:t xml:space="preserve">set builder</w:t>
      </w:r>
      <w:r>
        <w:t xml:space="preserve"> </w:t>
      </w:r>
      <w:r>
        <w:t xml:space="preserve">notation and</w:t>
      </w:r>
      <w:r>
        <w:t xml:space="preserve"> </w:t>
      </w:r>
      <w:r>
        <w:t xml:space="preserve">some new symbols.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t>x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read as:</w:t>
      </w:r>
      <w:r>
        <w:t xml:space="preserve"> </w:t>
      </w:r>
      <m:oMath>
        <m:r>
          <m:t>B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</w:t>
      </w:r>
      <w:r>
        <w:rPr>
          <w:iCs/>
          <w:i/>
        </w:rPr>
        <w:t xml:space="preserve"> </w:t>
      </w:r>
      <m:oMath>
        <m:r>
          <m:t>3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times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such that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a</w:t>
      </w:r>
      <w:r>
        <w:rPr>
          <w:iCs/>
          <w:i/>
        </w:rPr>
        <w:t xml:space="preserve"> </w:t>
      </w:r>
      <w:r>
        <w:rPr>
          <w:iCs/>
          <w:i/>
        </w:rPr>
        <w:t xml:space="preserve">natural number.</w:t>
      </w:r>
      <w:r>
        <w:t xml:space="preserve"> </w:t>
      </w:r>
      <w:r>
        <w:t xml:space="preserve">We’ve added in a funny E, N and a line! Here’s what</w:t>
      </w:r>
      <w:r>
        <w:t xml:space="preserve"> </w:t>
      </w:r>
      <w:r>
        <w:t xml:space="preserve">they mean: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is a member of the set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|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such that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When reading this for the first time it is fine to try some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see what you get. Explore the idea with pen and paper.</w:t>
      </w:r>
    </w:p>
    <w:bookmarkStart w:id="121" w:name="common-sets-of-numbers"/>
    <w:p>
      <w:pPr>
        <w:pStyle w:val="Heading3"/>
      </w:pPr>
      <w:r>
        <w:t xml:space="preserve">6.2.1 Common sets of numbers</w:t>
      </w:r>
    </w:p>
    <w:p>
      <w:pPr>
        <w:pStyle w:val="FirstParagraph"/>
      </w:pPr>
      <w:r>
        <w:t xml:space="preserve">The table below contains common sets you may see. Each lower set</w:t>
      </w:r>
      <w:r>
        <w:t xml:space="preserve"> </w:t>
      </w:r>
      <w:r>
        <w:t xml:space="preserve">contains the one above, i.e. the whole of</w:t>
      </w:r>
      <w:r>
        <w:t xml:space="preserve"> </w:t>
      </w:r>
      <m:oMath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.</w:t>
      </w:r>
    </w:p>
    <w:tbl>
      <w:tblPr>
        <w:tblStyle w:val="Table"/>
        <w:tblW w:type="pct" w:w="4888"/>
        <w:tblLook w:firstRow="1" w:lastRow="0" w:firstColumn="0" w:lastColumn="0" w:noHBand="0" w:noVBand="0" w:val="0020"/>
      </w:tblPr>
      <w:tblGrid>
        <w:gridCol w:w="2135"/>
        <w:gridCol w:w="2135"/>
        <w:gridCol w:w="34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whole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  <w:r>
              <w:t xml:space="preserve">,</w:t>
            </w:r>
            <w:r>
              <w:t xml:space="preserve"> </w:t>
            </w:r>
            <w:r>
              <w:t xml:space="preserve">this sometimes includes zero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Z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integers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and negative whole numbers</w:t>
            </w:r>
            <w:r>
              <w:t xml:space="preserve"> </w:t>
            </w:r>
            <m:oMath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Q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rational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fractions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real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we introduce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complex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all the a</w:t>
            </w:r>
          </w:p>
        </w:tc>
      </w:tr>
    </w:tbl>
    <w:p>
      <w:pPr>
        <w:pStyle w:val="BodyText"/>
      </w:pPr>
      <w:r>
        <w:t xml:space="preserve">Practice with your knowledge of sets with these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0">
              <w:r>
                <w:drawing>
                  <wp:inline>
                    <wp:extent cx="5334000" cy="4311650"/>
                    <wp:effectExtent b="0" l="0" r="0" t="0"/>
                    <wp:docPr descr="" title="" id="118" name="Picture"/>
                    <a:graphic>
                      <a:graphicData uri="http://schemas.openxmlformats.org/drawingml/2006/picture">
                        <pic:pic>
                          <pic:nvPicPr>
                            <pic:cNvPr descr="./00-reading_mathematics_files/figure-docx/unnamed-chunk-2-1.png" id="11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1"/>
    <w:bookmarkEnd w:id="122"/>
    <w:bookmarkEnd w:id="123"/>
    <w:bookmarkStart w:id="158" w:name="straight-line-graphs"/>
    <w:p>
      <w:pPr>
        <w:pStyle w:val="Heading1"/>
      </w:pPr>
      <w:r>
        <w:t xml:space="preserve">7.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32" w:name="coordinates"/>
    <w:p>
      <w:pPr>
        <w:pStyle w:val="Heading2"/>
      </w:pPr>
      <w:r>
        <w:t xml:space="preserve">7.1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7">
              <w:r>
                <w:drawing>
                  <wp:inline>
                    <wp:extent cx="5334000" cy="4267200"/>
                    <wp:effectExtent b="0" l="0" r="0" t="0"/>
                    <wp:docPr descr="" title="" id="12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31165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32"/>
    <w:bookmarkStart w:id="157" w:name="X367c9030df9619969b375da1ec9c6797494a985"/>
    <w:p>
      <w:pPr>
        <w:pStyle w:val="Heading2"/>
      </w:pPr>
      <w:r>
        <w:t xml:space="preserve">7.2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37" w:name="the-y-intercept-c"/>
    <w:p>
      <w:pPr>
        <w:pStyle w:val="Heading3"/>
      </w:pPr>
      <w:r>
        <w:t xml:space="preserve">7.2.1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6">
              <w:r>
                <w:drawing>
                  <wp:inline>
                    <wp:extent cx="5334000" cy="4267200"/>
                    <wp:effectExtent b="0" l="0" r="0" t="0"/>
                    <wp:docPr descr="" title="" id="134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37"/>
    <w:bookmarkStart w:id="156" w:name="the-gradient-m"/>
    <w:p>
      <w:pPr>
        <w:pStyle w:val="Heading3"/>
      </w:pPr>
      <w:r>
        <w:t xml:space="preserve">7.2.2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3">
              <w:r>
                <w:drawing>
                  <wp:inline>
                    <wp:extent cx="5334000" cy="4267200"/>
                    <wp:effectExtent b="0" l="0" r="0" t="0"/>
                    <wp:docPr descr="" title="" id="14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26720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5">
              <w:r>
                <w:drawing>
                  <wp:inline>
                    <wp:extent cx="5334000" cy="4311650"/>
                    <wp:effectExtent b="0" l="0" r="0" t="0"/>
                    <wp:docPr descr="" title="" id="15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6"/>
    <w:bookmarkEnd w:id="157"/>
    <w:bookmarkEnd w:id="158"/>
    <w:bookmarkStart w:id="195" w:name="quadratics"/>
    <w:p>
      <w:pPr>
        <w:pStyle w:val="Heading1"/>
      </w:pPr>
      <w:r>
        <w:t xml:space="preserve">8.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2">
              <w:r>
                <w:drawing>
                  <wp:inline>
                    <wp:extent cx="5334000" cy="4267200"/>
                    <wp:effectExtent b="0" l="0" r="0" t="0"/>
                    <wp:docPr descr="" title="" id="16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63" w:name="expanding-pairs-of-brackets-1"/>
    <w:p>
      <w:pPr>
        <w:pStyle w:val="Heading2"/>
      </w:pPr>
      <w:r>
        <w:t xml:space="preserve">8.1 Expanding pairs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63"/>
    <w:bookmarkStart w:id="168" w:name="factorising-pairs-of-brackets"/>
    <w:p>
      <w:pPr>
        <w:pStyle w:val="Heading2"/>
      </w:pPr>
      <w:r>
        <w:t xml:space="preserve">8.2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84" w:name="solving-quadratics"/>
    <w:p>
      <w:pPr>
        <w:pStyle w:val="Heading2"/>
      </w:pPr>
      <w:r>
        <w:t xml:space="preserve">8.3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2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2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2"/>
        </w:numPr>
        <w:pStyle w:val="Compact"/>
      </w:pPr>
      <w:r>
        <w:t xml:space="preserve">no real values (only</w:t>
      </w:r>
      <w:r>
        <w:t xml:space="preserve"> </w:t>
      </w:r>
      <w:hyperlink r:id="rId169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76" w:name="factorisation"/>
    <w:p>
      <w:pPr>
        <w:pStyle w:val="Heading3"/>
      </w:pPr>
      <w:r>
        <w:t xml:space="preserve">8.3.1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5">
              <w:r>
                <w:drawing>
                  <wp:inline>
                    <wp:extent cx="5334000" cy="4311650"/>
                    <wp:effectExtent b="0" l="0" r="0" t="0"/>
                    <wp:docPr descr="" title="" id="17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6"/>
    <w:bookmarkStart w:id="183" w:name="quadratic-formula"/>
    <w:p>
      <w:pPr>
        <w:pStyle w:val="Heading3"/>
      </w:pPr>
      <w:r>
        <w:t xml:space="preserve">8.3.2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2">
              <w:r>
                <w:drawing>
                  <wp:inline>
                    <wp:extent cx="5334000" cy="4311650"/>
                    <wp:effectExtent b="0" l="0" r="0" t="0"/>
                    <wp:docPr descr="" title="" id="180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6-1.png" id="18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3"/>
    <w:bookmarkEnd w:id="184"/>
    <w:bookmarkStart w:id="194" w:name="simultaneous-equations-1"/>
    <w:p>
      <w:pPr>
        <w:pStyle w:val="Heading2"/>
      </w:pPr>
      <w:r>
        <w:t xml:space="preserve">8.4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9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7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94"/>
    <w:bookmarkEnd w:id="195"/>
    <w:bookmarkStart w:id="210" w:name="indices"/>
    <w:p>
      <w:pPr>
        <w:pStyle w:val="Heading1"/>
      </w:pPr>
      <w:r>
        <w:t xml:space="preserve">9.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201" w:name="index-notation"/>
    <w:p>
      <w:pPr>
        <w:pStyle w:val="Heading2"/>
      </w:pPr>
      <w:r>
        <w:t xml:space="preserve">9.1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200" w:name="but-why-1"/>
    <w:p>
      <w:pPr>
        <w:pStyle w:val="Heading3"/>
      </w:pPr>
      <w:r>
        <w:t xml:space="preserve">9.1.1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200"/>
    <w:bookmarkEnd w:id="201"/>
    <w:bookmarkStart w:id="209" w:name="rules-of-indices"/>
    <w:p>
      <w:pPr>
        <w:pStyle w:val="Heading2"/>
      </w:pPr>
      <w:r>
        <w:t xml:space="preserve">9.2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6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8" w:name="but-why-square-roots"/>
    <w:p>
      <w:pPr>
        <w:pStyle w:val="Heading3"/>
      </w:pPr>
      <w:r>
        <w:t xml:space="preserve">9.2.1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8"/>
    <w:bookmarkEnd w:id="209"/>
    <w:bookmarkEnd w:id="210"/>
    <w:bookmarkStart w:id="224" w:name="differentiation"/>
    <w:p>
      <w:pPr>
        <w:pStyle w:val="Heading1"/>
      </w:pPr>
      <w:r>
        <w:t xml:space="preserve">10.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15" w:name="the-tangent-to-a-curve"/>
    <w:p>
      <w:pPr>
        <w:pStyle w:val="Heading2"/>
      </w:pPr>
      <w:r>
        <w:t xml:space="preserve">10.1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4">
              <w:r>
                <w:drawing>
                  <wp:inline>
                    <wp:extent cx="5334000" cy="4267200"/>
                    <wp:effectExtent b="0" l="0" r="0" t="0"/>
                    <wp:docPr descr="" title="" id="212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1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15"/>
    <w:bookmarkStart w:id="222" w:name="the-rules-of-differentiation"/>
    <w:p>
      <w:pPr>
        <w:pStyle w:val="Heading2"/>
      </w:pPr>
      <w:r>
        <w:t xml:space="preserve">10.2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8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8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8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31165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22"/>
    <w:bookmarkStart w:id="223" w:name="finding-gradient-at-a-point"/>
    <w:p>
      <w:pPr>
        <w:pStyle w:val="Heading2"/>
      </w:pPr>
      <w:r>
        <w:t xml:space="preserve">10.3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23"/>
    <w:bookmarkEnd w:id="224"/>
    <w:bookmarkStart w:id="245" w:name="exponential-functions"/>
    <w:p>
      <w:pPr>
        <w:pStyle w:val="Heading1"/>
      </w:pPr>
      <w:r>
        <w:t xml:space="preserve">11.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25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32" w:name="getting-to-know-exponential-functions"/>
    <w:p>
      <w:pPr>
        <w:pStyle w:val="Heading2"/>
      </w:pPr>
      <w:r>
        <w:t xml:space="preserve">11.1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26720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32"/>
    <w:bookmarkStart w:id="239" w:name="the-exponetial-function"/>
    <w:p>
      <w:pPr>
        <w:pStyle w:val="Heading2"/>
      </w:pPr>
      <w:r>
        <w:t xml:space="preserve">11.2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6">
              <w:r>
                <w:drawing>
                  <wp:inline>
                    <wp:extent cx="5334000" cy="4267200"/>
                    <wp:effectExtent b="0" l="0" r="0" t="0"/>
                    <wp:docPr descr="" title="" id="234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9"/>
    <w:bookmarkStart w:id="244" w:name="differentiating-ex"/>
    <w:p>
      <w:pPr>
        <w:pStyle w:val="Heading2"/>
      </w:pPr>
      <w:r>
        <w:t xml:space="preserve">11.3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3">
              <w:r>
                <w:drawing>
                  <wp:inline>
                    <wp:extent cx="5334000" cy="4311650"/>
                    <wp:effectExtent b="0" l="0" r="0" t="0"/>
                    <wp:docPr descr="" title="" id="241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4"/>
    <w:bookmarkEnd w:id="245"/>
    <w:bookmarkStart w:id="275" w:name="logarithms"/>
    <w:p>
      <w:pPr>
        <w:pStyle w:val="Heading1"/>
      </w:pPr>
      <w:r>
        <w:t xml:space="preserve">12.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8" w:name="reverse-of-indices"/>
    <w:p>
      <w:pPr>
        <w:pStyle w:val="Heading2"/>
      </w:pPr>
      <w:r>
        <w:t xml:space="preserve">12.1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8"/>
    <w:bookmarkStart w:id="255" w:name="rules-of-logarithms"/>
    <w:p>
      <w:pPr>
        <w:pStyle w:val="Heading2"/>
      </w:pPr>
      <w:r>
        <w:t xml:space="preserve">12.2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4">
              <w:r>
                <w:drawing>
                  <wp:inline>
                    <wp:extent cx="5334000" cy="4311650"/>
                    <wp:effectExtent b="0" l="0" r="0" t="0"/>
                    <wp:docPr descr="" title="" id="252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5"/>
    <w:bookmarkStart w:id="260" w:name="solving-equations-with-logarithms-in"/>
    <w:p>
      <w:pPr>
        <w:pStyle w:val="Heading2"/>
      </w:pPr>
      <w:r>
        <w:t xml:space="preserve">12.3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9">
              <w:r>
                <w:drawing>
                  <wp:inline>
                    <wp:extent cx="5334000" cy="4311650"/>
                    <wp:effectExtent b="0" l="0" r="0" t="0"/>
                    <wp:docPr descr="" title="" id="25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0"/>
    <w:bookmarkStart w:id="267" w:name="some-important-bases"/>
    <w:p>
      <w:pPr>
        <w:pStyle w:val="Heading2"/>
      </w:pPr>
      <w:r>
        <w:t xml:space="preserve">12.4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63" w:name="the-natural-logarithm"/>
    <w:p>
      <w:pPr>
        <w:pStyle w:val="Heading3"/>
      </w:pPr>
      <w:r>
        <w:t xml:space="preserve">12.4.1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63"/>
    <w:bookmarkStart w:id="266" w:name="base-10"/>
    <w:p>
      <w:pPr>
        <w:pStyle w:val="Heading3"/>
      </w:pPr>
      <w:r>
        <w:t xml:space="preserve">12.4.2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66"/>
    <w:bookmarkEnd w:id="267"/>
    <w:bookmarkStart w:id="274" w:name="differentiating-lnx"/>
    <w:p>
      <w:pPr>
        <w:pStyle w:val="Heading2"/>
      </w:pPr>
      <w:r>
        <w:t xml:space="preserve">12.5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3">
              <w:r>
                <w:drawing>
                  <wp:inline>
                    <wp:extent cx="5334000" cy="4311650"/>
                    <wp:effectExtent b="0" l="0" r="0" t="0"/>
                    <wp:docPr descr="" title="" id="27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7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4"/>
    <w:bookmarkEnd w:id="275"/>
    <w:bookmarkStart w:id="296" w:name="further-differentiation"/>
    <w:p>
      <w:pPr>
        <w:pStyle w:val="Heading1"/>
      </w:pPr>
      <w:r>
        <w:t xml:space="preserve">13.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80" w:name="standard-results"/>
    <w:p>
      <w:pPr>
        <w:pStyle w:val="Heading2"/>
      </w:pPr>
      <w:r>
        <w:t xml:space="preserve">13.1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9">
              <w:r>
                <w:drawing>
                  <wp:inline>
                    <wp:extent cx="5334000" cy="4311650"/>
                    <wp:effectExtent b="0" l="0" r="0" t="0"/>
                    <wp:docPr descr="" title="" id="27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0"/>
    <w:bookmarkStart w:id="285" w:name="the-chain-rule"/>
    <w:p>
      <w:pPr>
        <w:pStyle w:val="Heading2"/>
      </w:pPr>
      <w:r>
        <w:t xml:space="preserve">13.2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4">
              <w:r>
                <w:drawing>
                  <wp:inline>
                    <wp:extent cx="5334000" cy="4311650"/>
                    <wp:effectExtent b="0" l="0" r="0" t="0"/>
                    <wp:docPr descr="" title="" id="28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8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5"/>
    <w:bookmarkStart w:id="290" w:name="the-product-rule"/>
    <w:p>
      <w:pPr>
        <w:pStyle w:val="Heading2"/>
      </w:pPr>
      <w:r>
        <w:t xml:space="preserve">13.3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9">
              <w:r>
                <w:drawing>
                  <wp:inline>
                    <wp:extent cx="5334000" cy="4311650"/>
                    <wp:effectExtent b="0" l="0" r="0" t="0"/>
                    <wp:docPr descr="" title="" id="287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5-1.png" id="28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90"/>
    <w:bookmarkStart w:id="295" w:name="the-quotient-rule"/>
    <w:p>
      <w:pPr>
        <w:pStyle w:val="Heading2"/>
      </w:pPr>
      <w:r>
        <w:t xml:space="preserve">13.4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4">
              <w:r>
                <w:drawing>
                  <wp:inline>
                    <wp:extent cx="5334000" cy="4311650"/>
                    <wp:effectExtent b="0" l="0" r="0" t="0"/>
                    <wp:docPr descr="" title="" id="292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7-1.png" id="29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95"/>
    <w:bookmarkEnd w:id="2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152" Target="media/rId152.png" /><Relationship Type="http://schemas.openxmlformats.org/officeDocument/2006/relationships/image" Id="rId159" Target="media/rId159.png" /><Relationship Type="http://schemas.openxmlformats.org/officeDocument/2006/relationships/image" Id="rId164" Target="media/rId164.png" /><Relationship Type="http://schemas.openxmlformats.org/officeDocument/2006/relationships/image" Id="rId172" Target="media/rId172.png" /><Relationship Type="http://schemas.openxmlformats.org/officeDocument/2006/relationships/image" Id="rId179" Target="media/rId179.png" /><Relationship Type="http://schemas.openxmlformats.org/officeDocument/2006/relationships/image" Id="rId190" Target="media/rId190.png" /><Relationship Type="http://schemas.openxmlformats.org/officeDocument/2006/relationships/image" Id="rId204" Target="media/rId204.png" /><Relationship Type="http://schemas.openxmlformats.org/officeDocument/2006/relationships/image" Id="rId211" Target="media/rId211.png" /><Relationship Type="http://schemas.openxmlformats.org/officeDocument/2006/relationships/image" Id="rId218" Target="media/rId218.png" /><Relationship Type="http://schemas.openxmlformats.org/officeDocument/2006/relationships/image" Id="rId226" Target="media/rId226.png" /><Relationship Type="http://schemas.openxmlformats.org/officeDocument/2006/relationships/image" Id="rId233" Target="media/rId233.png" /><Relationship Type="http://schemas.openxmlformats.org/officeDocument/2006/relationships/image" Id="rId240" Target="media/rId240.png" /><Relationship Type="http://schemas.openxmlformats.org/officeDocument/2006/relationships/image" Id="rId251" Target="media/rId251.png" /><Relationship Type="http://schemas.openxmlformats.org/officeDocument/2006/relationships/image" Id="rId256" Target="media/rId256.png" /><Relationship Type="http://schemas.openxmlformats.org/officeDocument/2006/relationships/image" Id="rId270" Target="media/rId270.png" /><Relationship Type="http://schemas.openxmlformats.org/officeDocument/2006/relationships/image" Id="rId276" Target="media/rId276.png" /><Relationship Type="http://schemas.openxmlformats.org/officeDocument/2006/relationships/image" Id="rId281" Target="media/rId281.png" /><Relationship Type="http://schemas.openxmlformats.org/officeDocument/2006/relationships/image" Id="rId286" Target="media/rId286.png" /><Relationship Type="http://schemas.openxmlformats.org/officeDocument/2006/relationships/image" Id="rId291" Target="media/rId291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9" Target="https://en.wikipedia.org/wiki/Imaginary_number" TargetMode="External" /><Relationship Type="http://schemas.openxmlformats.org/officeDocument/2006/relationships/hyperlink" Id="rId120" Target="https://numbas.mathcentre.ac.uk/question/100368/sets-set-notation/embed/" TargetMode="External" /><Relationship Type="http://schemas.openxmlformats.org/officeDocument/2006/relationships/hyperlink" Id="rId289" Target="https://numbas.mathcentre.ac.uk/question/101423/differentiation-product-rule-6/embed/?token=95bdacf5-d008-407f-86b9-4605fa18c389" TargetMode="External" /><Relationship Type="http://schemas.openxmlformats.org/officeDocument/2006/relationships/hyperlink" Id="rId15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2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7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4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82" Target="https://numbas.mathcentre.ac.uk/question/64345/quadratics-using-the-quadratic-formula/embed/?token=df746faf-a094-4dd6-8e2b-19ae44306fc8" TargetMode="External" /><Relationship Type="http://schemas.openxmlformats.org/officeDocument/2006/relationships/hyperlink" Id="rId167" Target="https://numbas.mathcentre.ac.uk/question/64384/quadratics-factorisation-1/embed/?token=1e79515a-591e-457e-afe3-d82103bb02e9" TargetMode="External" /><Relationship Type="http://schemas.openxmlformats.org/officeDocument/2006/relationships/hyperlink" Id="rId207" Target="https://numbas.mathcentre.ac.uk/question/64712/indices-change-of-notation-3/embed/?token=246845ab-e1ea-4745-9106-5750be81ed2c" TargetMode="External" /><Relationship Type="http://schemas.openxmlformats.org/officeDocument/2006/relationships/hyperlink" Id="rId193" Target="https://numbas.mathcentre.ac.uk/question/65155/simultaneous-equations-quadratics-1/embed/?token=582d176f-c880-4353-abdf-8f51e0c575b6" TargetMode="External" /><Relationship Type="http://schemas.openxmlformats.org/officeDocument/2006/relationships/hyperlink" Id="rId294" Target="https://numbas.mathcentre.ac.uk/question/67315/differentiation-quotient-rule-4/embed/?token=bce25b63-b091-4e64-811d-5e064743c9d4" TargetMode="External" /><Relationship Type="http://schemas.openxmlformats.org/officeDocument/2006/relationships/hyperlink" Id="rId27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31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4" Target="https://numbas.mathcentre.ac.uk/question/91317/differentiation-chain-rule-3/embed/?token=0ac77949-e57a-40a4-9e69-200c7817cc9e" TargetMode="External" /><Relationship Type="http://schemas.openxmlformats.org/officeDocument/2006/relationships/hyperlink" Id="rId254" Target="https://numbas.mathcentre.ac.uk/question/98284/logarithms-simplifying-expressions-2/embed/?token=236a0071-445b-43bf-a8a9-9611b4dcb5ae" TargetMode="External" /><Relationship Type="http://schemas.openxmlformats.org/officeDocument/2006/relationships/hyperlink" Id="rId25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9" Target="https://www.desmos.com/calculator" TargetMode="External" /><Relationship Type="http://schemas.openxmlformats.org/officeDocument/2006/relationships/hyperlink" Id="rId143" Target="https://www.desmos.com/calculator/a3c9vcaede?embed" TargetMode="External" /><Relationship Type="http://schemas.openxmlformats.org/officeDocument/2006/relationships/hyperlink" Id="rId214" Target="https://www.desmos.com/calculator/ahtukw0jwz?embed" TargetMode="External" /><Relationship Type="http://schemas.openxmlformats.org/officeDocument/2006/relationships/hyperlink" Id="rId127" Target="https://www.desmos.com/calculator/jzyasdusre?embed" TargetMode="External" /><Relationship Type="http://schemas.openxmlformats.org/officeDocument/2006/relationships/hyperlink" Id="rId136" Target="https://www.desmos.com/calculator/llcrsdgmvo?embed" TargetMode="External" /><Relationship Type="http://schemas.openxmlformats.org/officeDocument/2006/relationships/hyperlink" Id="rId229" Target="https://www.desmos.com/calculator/u1nuc4eumz?embed" TargetMode="External" /><Relationship Type="http://schemas.openxmlformats.org/officeDocument/2006/relationships/hyperlink" Id="rId162" Target="https://www.desmos.com/calculator/ufd5zwqegu?embed" TargetMode="External" /><Relationship Type="http://schemas.openxmlformats.org/officeDocument/2006/relationships/hyperlink" Id="rId236" Target="https://www.desmos.com/calculator/uxvmkixg70?embed" TargetMode="External" /><Relationship Type="http://schemas.openxmlformats.org/officeDocument/2006/relationships/hyperlink" Id="rId147" Target="https://www.desmos.com/calculator/z9r3fkyrcf?embed" TargetMode="External" /><Relationship Type="http://schemas.openxmlformats.org/officeDocument/2006/relationships/hyperlink" Id="rId225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9" Target="https://en.wikipedia.org/wiki/Imaginary_number" TargetMode="External" /><Relationship Type="http://schemas.openxmlformats.org/officeDocument/2006/relationships/hyperlink" Id="rId120" Target="https://numbas.mathcentre.ac.uk/question/100368/sets-set-notation/embed/" TargetMode="External" /><Relationship Type="http://schemas.openxmlformats.org/officeDocument/2006/relationships/hyperlink" Id="rId289" Target="https://numbas.mathcentre.ac.uk/question/101423/differentiation-product-rule-6/embed/?token=95bdacf5-d008-407f-86b9-4605fa18c389" TargetMode="External" /><Relationship Type="http://schemas.openxmlformats.org/officeDocument/2006/relationships/hyperlink" Id="rId155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5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21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73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43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82" Target="https://numbas.mathcentre.ac.uk/question/64345/quadratics-using-the-quadratic-formula/embed/?token=df746faf-a094-4dd6-8e2b-19ae44306fc8" TargetMode="External" /><Relationship Type="http://schemas.openxmlformats.org/officeDocument/2006/relationships/hyperlink" Id="rId167" Target="https://numbas.mathcentre.ac.uk/question/64384/quadratics-factorisation-1/embed/?token=1e79515a-591e-457e-afe3-d82103bb02e9" TargetMode="External" /><Relationship Type="http://schemas.openxmlformats.org/officeDocument/2006/relationships/hyperlink" Id="rId207" Target="https://numbas.mathcentre.ac.uk/question/64712/indices-change-of-notation-3/embed/?token=246845ab-e1ea-4745-9106-5750be81ed2c" TargetMode="External" /><Relationship Type="http://schemas.openxmlformats.org/officeDocument/2006/relationships/hyperlink" Id="rId193" Target="https://numbas.mathcentre.ac.uk/question/65155/simultaneous-equations-quadratics-1/embed/?token=582d176f-c880-4353-abdf-8f51e0c575b6" TargetMode="External" /><Relationship Type="http://schemas.openxmlformats.org/officeDocument/2006/relationships/hyperlink" Id="rId294" Target="https://numbas.mathcentre.ac.uk/question/67315/differentiation-quotient-rule-4/embed/?token=bce25b63-b091-4e64-811d-5e064743c9d4" TargetMode="External" /><Relationship Type="http://schemas.openxmlformats.org/officeDocument/2006/relationships/hyperlink" Id="rId279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31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4" Target="https://numbas.mathcentre.ac.uk/question/91317/differentiation-chain-rule-3/embed/?token=0ac77949-e57a-40a4-9e69-200c7817cc9e" TargetMode="External" /><Relationship Type="http://schemas.openxmlformats.org/officeDocument/2006/relationships/hyperlink" Id="rId254" Target="https://numbas.mathcentre.ac.uk/question/98284/logarithms-simplifying-expressions-2/embed/?token=236a0071-445b-43bf-a8a9-9611b4dcb5ae" TargetMode="External" /><Relationship Type="http://schemas.openxmlformats.org/officeDocument/2006/relationships/hyperlink" Id="rId259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9" Target="https://www.desmos.com/calculator" TargetMode="External" /><Relationship Type="http://schemas.openxmlformats.org/officeDocument/2006/relationships/hyperlink" Id="rId143" Target="https://www.desmos.com/calculator/a3c9vcaede?embed" TargetMode="External" /><Relationship Type="http://schemas.openxmlformats.org/officeDocument/2006/relationships/hyperlink" Id="rId214" Target="https://www.desmos.com/calculator/ahtukw0jwz?embed" TargetMode="External" /><Relationship Type="http://schemas.openxmlformats.org/officeDocument/2006/relationships/hyperlink" Id="rId127" Target="https://www.desmos.com/calculator/jzyasdusre?embed" TargetMode="External" /><Relationship Type="http://schemas.openxmlformats.org/officeDocument/2006/relationships/hyperlink" Id="rId136" Target="https://www.desmos.com/calculator/llcrsdgmvo?embed" TargetMode="External" /><Relationship Type="http://schemas.openxmlformats.org/officeDocument/2006/relationships/hyperlink" Id="rId229" Target="https://www.desmos.com/calculator/u1nuc4eumz?embed" TargetMode="External" /><Relationship Type="http://schemas.openxmlformats.org/officeDocument/2006/relationships/hyperlink" Id="rId162" Target="https://www.desmos.com/calculator/ufd5zwqegu?embed" TargetMode="External" /><Relationship Type="http://schemas.openxmlformats.org/officeDocument/2006/relationships/hyperlink" Id="rId236" Target="https://www.desmos.com/calculator/uxvmkixg70?embed" TargetMode="External" /><Relationship Type="http://schemas.openxmlformats.org/officeDocument/2006/relationships/hyperlink" Id="rId147" Target="https://www.desmos.com/calculator/z9r3fkyrcf?embed" TargetMode="External" /><Relationship Type="http://schemas.openxmlformats.org/officeDocument/2006/relationships/hyperlink" Id="rId225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2022-10-20T17:12:03Z</dcterms:created>
  <dcterms:modified xsi:type="dcterms:W3CDTF">2022-10-20T17:12:03Z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