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40.png" ContentType="image/png"/>
  <Override PartName="/word/media/rId46.png" ContentType="image/png"/>
  <Override PartName="/word/media/rId53.png" ContentType="image/png"/>
  <Override PartName="/word/media/rId59.png" ContentType="image/png"/>
  <Override PartName="/word/media/rId66.png" ContentType="image/png"/>
  <Override PartName="/word/media/rId74.png" ContentType="image/png"/>
  <Override PartName="/word/media/rId90.png" ContentType="image/png"/>
  <Override PartName="/word/media/rId97.png" ContentType="image/png"/>
  <Override PartName="/word/media/rId108.png" ContentType="image/png"/>
  <Override PartName="/word/media/rId116.png" ContentType="image/png"/>
  <Override PartName="/word/media/rId120.png" ContentType="image/png"/>
  <Override PartName="/word/media/rId125.png" ContentType="image/png"/>
  <Override PartName="/word/media/rId132.png" ContentType="image/png"/>
  <Override PartName="/word/media/rId136.png" ContentType="image/png"/>
  <Override PartName="/word/media/rId144.png" ContentType="image/png"/>
  <Override PartName="/word/media/rId151.png" ContentType="image/png"/>
  <Override PartName="/word/media/rId156.png" ContentType="image/png"/>
  <Override PartName="/word/media/rId164.png" ContentType="image/png"/>
  <Override PartName="/word/media/rId171.png" ContentType="image/png"/>
  <Override PartName="/word/media/rId182.png" ContentType="image/png"/>
  <Override PartName="/word/media/rId196.png" ContentType="image/png"/>
  <Override PartName="/word/media/rId203.png" ContentType="image/png"/>
  <Override PartName="/word/media/rId210.png" ContentType="image/png"/>
  <Override PartName="/word/media/rId218.png" ContentType="image/png"/>
  <Override PartName="/word/media/rId225.png" ContentType="image/png"/>
  <Override PartName="/word/media/rId232.png" ContentType="image/png"/>
  <Override PartName="/word/media/rId243.png" ContentType="image/png"/>
  <Override PartName="/word/media/rId248.png" ContentType="image/png"/>
  <Override PartName="/word/media/rId262.png" ContentType="image/png"/>
  <Override PartName="/word/media/rId268.png" ContentType="image/png"/>
  <Override PartName="/word/media/rId273.png" ContentType="image/png"/>
  <Override PartName="/word/media/rId278.png" ContentType="image/png"/>
  <Override PartName="/word/media/rId283.png" ContentType="image/png"/>
  <Override PartName="/word/media/rId78.png" ContentType="image/png"/>
  <Override PartName="/word/media/rId24.png" ContentType="image/png"/>
  <Override PartName="/word/media/rId8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 a video (with the same</w:t>
      </w:r>
      <w:r>
        <w:t xml:space="preserve"> </w:t>
      </w:r>
      <w:r>
        <w:t xml:space="preserve">content as the notes) 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videos are hosted on the University’s Panopto Re:view server. You</w:t>
            </w:r>
            <w:r>
              <w:t xml:space="preserve"> </w:t>
            </w:r>
            <w:r>
              <w:t xml:space="preserve">will have to login to watch them - it mau also force a pop-up window.</w:t>
            </w:r>
          </w:p>
        </w:tc>
      </w:tr>
    </w:tbl>
    <w:p>
      <w:pPr>
        <w:pStyle w:val="BodyText"/>
      </w:pPr>
      <w:r>
        <w:t xml:space="preserve">This is a work in progress, the videos are appearing and things may</w:t>
      </w:r>
      <w:r>
        <w:t xml:space="preserve"> </w:t>
      </w:r>
      <w:r>
        <w:t xml:space="preserve">change! If you find a mistake please email edrs20@bath.ac.uk and good</w:t>
      </w:r>
      <w:r>
        <w:t xml:space="preserve"> </w:t>
      </w:r>
      <w:r>
        <w:t xml:space="preserve">luck!</w:t>
      </w:r>
    </w:p>
    <w:bookmarkEnd w:id="23"/>
    <w:bookmarkStart w:id="45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 of</w:t>
      </w:r>
      <w:r>
        <w:rPr>
          <w:iCs/>
          <w:i/>
        </w:rPr>
        <w:t xml:space="preserve"> </w:t>
      </w:r>
      <w:r>
        <w:rPr>
          <w:iCs/>
          <w:i/>
        </w:rPr>
        <w:t xml:space="preserve">the things which are in their nature excessively obvious and 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4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FirstParagraph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FirstParagraph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32">
              <w:r>
                <w:drawing>
                  <wp:inline>
                    <wp:extent cx="5334000" cy="4311650"/>
                    <wp:effectExtent b="0" l="0" r="0" t="0"/>
                    <wp:docPr descr="" title="" id="30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2-1.png" id="3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3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3"/>
    <w:bookmarkEnd w:id="34"/>
    <w:bookmarkStart w:id="44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3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3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3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</w:t>
      </w:r>
      <w:r>
        <w:t xml:space="preserve"> </w:t>
      </w:r>
      <w:r>
        <w:t xml:space="preserve">(I know it seams bonkers!). The double negative cancels out to give</w:t>
      </w:r>
      <w:r>
        <w:t xml:space="preserve"> </w:t>
      </w:r>
      <w:r>
        <w:t xml:space="preserve">a calculation equivalent to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3">
              <w:r>
                <w:drawing>
                  <wp:inline>
                    <wp:extent cx="5334000" cy="4311650"/>
                    <wp:effectExtent b="0" l="0" r="0" t="0"/>
                    <wp:docPr descr="" title="" id="41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5-1.png" id="4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4"/>
    <w:bookmarkEnd w:id="45"/>
    <w:bookmarkStart w:id="58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50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BIDMAS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9">
              <w:r>
                <w:drawing>
                  <wp:inline>
                    <wp:extent cx="5334000" cy="4311650"/>
                    <wp:effectExtent b="0" l="0" r="0" t="0"/>
                    <wp:docPr descr="" title="" id="47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2-1.png" id="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0"/>
    <w:bookmarkStart w:id="57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×</m:t>
              </m:r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different from</w:t>
            </w:r>
            <w:r>
              <w:t xml:space="preserve"> </w:t>
            </w:r>
            <m:oMath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1</m:t>
              </m:r>
              <m:r>
                <m:t>x</m:t>
              </m:r>
            </m:oMath>
            <w:r>
              <w:t xml:space="preserve"> </w:t>
            </w:r>
            <w:r>
              <w:t xml:space="preserve">is written as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Have a go at simplifying with these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56">
              <w:r>
                <w:drawing>
                  <wp:inline>
                    <wp:extent cx="5334000" cy="4311650"/>
                    <wp:effectExtent b="0" l="0" r="0" t="0"/>
                    <wp:docPr descr="" title="" id="54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4-1.png" id="5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7"/>
    <w:bookmarkEnd w:id="58"/>
    <w:bookmarkStart w:id="73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65" w:name="expanding"/>
    <w:p>
      <w:pPr>
        <w:pStyle w:val="Heading2"/>
      </w:pPr>
      <w:r>
        <w:t xml:space="preserve">3.1 Expanding</w:t>
      </w:r>
    </w:p>
    <w:bookmarkStart w:id="63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2">
              <w:r>
                <w:drawing>
                  <wp:inline>
                    <wp:extent cx="5334000" cy="4311650"/>
                    <wp:effectExtent b="0" l="0" r="0" t="0"/>
                    <wp:docPr descr="" title="" id="60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2-1.png" id="6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3"/>
    <w:bookmarkStart w:id="64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64"/>
    <w:bookmarkEnd w:id="65"/>
    <w:bookmarkStart w:id="72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70" w:name="factorising---single-brackets"/>
    <w:p>
      <w:pPr>
        <w:pStyle w:val="Heading3"/>
      </w:pPr>
      <w:r>
        <w:t xml:space="preserve">3.2.1 Factorising - single brackets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9">
              <w:r>
                <w:drawing>
                  <wp:inline>
                    <wp:extent cx="5334000" cy="4311650"/>
                    <wp:effectExtent b="0" l="0" r="0" t="0"/>
                    <wp:docPr descr="" title="" id="67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4-1.png" id="6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70"/>
    <w:bookmarkStart w:id="71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71"/>
    <w:bookmarkEnd w:id="72"/>
    <w:bookmarkEnd w:id="73"/>
    <w:bookmarkStart w:id="89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7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81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77">
              <w:r>
                <w:drawing>
                  <wp:inline>
                    <wp:extent cx="5334000" cy="4311650"/>
                    <wp:effectExtent b="0" l="0" r="0" t="0"/>
                    <wp:docPr descr="" title="" id="75" name="Picture"/>
                    <a:graphic>
                      <a:graphicData uri="http://schemas.openxmlformats.org/drawingml/2006/picture">
                        <pic:pic>
                          <pic:nvPicPr>
                            <pic:cNvPr descr="./04-fractions_files/figure-docx/unnamed-chunk-3-1.png" id="7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tempting to want to make cancellations like this:</w:t>
            </w:r>
          </w:p>
          <w:p>
            <w:pPr>
              <w:pStyle w:val="BodyText"/>
            </w:pPr>
            <w:r>
              <w:t xml:space="preserve">$$
\begin{aligned} \frac{2x^2}{3x+7} &amp;= \frac{2x\cancel{x}}{3\cancel{x}+1} \\
&amp;= \frac{2x}{3+7} \\
&amp;= \frac{2x}{10} \\
&amp;= \frac{x}{5}
\end{aligned}
$$</w:t>
            </w:r>
          </w:p>
          <w:p>
            <w:pPr>
              <w:pStyle w:val="FirstParagraph"/>
            </w:pPr>
            <w:r>
              <w:t xml:space="preserve">However, please don’t do it, as it’s just plain wrong! Lets let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 substitute it into the original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x</m:t>
                  </m:r>
                </m:num>
                <m:den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den>
              </m:f>
            </m:oMath>
            <w:r>
              <w:t xml:space="preserve"> </w:t>
            </w:r>
            <w:r>
              <w:t xml:space="preserve">and into</w:t>
            </w:r>
            <w:r>
              <w:t xml:space="preserve"> </w:t>
            </w:r>
            <w:r>
              <w:t xml:space="preserve">incorrectly simplified version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5</m:t>
                  </m:r>
                </m:den>
              </m:f>
            </m:oMath>
            <w:r>
              <w:t xml:space="preserve">. If the algebra is correct</w:t>
            </w:r>
            <w:r>
              <w:t xml:space="preserve"> </w:t>
            </w:r>
            <w:r>
              <w:t xml:space="preserve">it should give the same answer.</w:t>
            </w:r>
          </w:p>
          <w:p>
            <w:pPr>
              <w:pStyle w:val="BodyText"/>
            </w:pPr>
            <w:r>
              <w:t xml:space="preserve">We claim: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but if we substitute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into both sides we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r>
                            <m:t>9</m:t>
                          </m:r>
                        </m:num>
                        <m:den>
                          <m:r>
                            <m:t>9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18</m:t>
                          </m:r>
                        </m:num>
                        <m:den>
                          <m:r>
                            <m:t>16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Which is nonsense!</w:t>
            </w:r>
          </w:p>
        </w:tc>
      </w:tr>
    </w:tbl>
    <w:bookmarkEnd w:id="81"/>
    <w:bookmarkStart w:id="87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85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possible to cancel before multiplying. Here is the same example</w:t>
            </w:r>
            <w:r>
              <w:t xml:space="preserve"> </w:t>
            </w:r>
            <w:r>
              <w:t xml:space="preserve">revisited:</w:t>
            </w:r>
          </w:p>
          <w:p>
            <w:pPr>
              <w:pStyle w:val="BodyText"/>
            </w:pPr>
            <w:r>
      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This can be super useful when dealing with large numbers or complex</w:t>
            </w:r>
            <w:r>
              <w:t xml:space="preserve"> </w:t>
            </w:r>
            <w:r>
              <w:t xml:space="preserve">algebraic fractions.</w:t>
            </w:r>
          </w:p>
        </w:tc>
      </w:tr>
    </w:tbl>
    <w:bookmarkEnd w:id="85"/>
    <w:bookmarkStart w:id="86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86"/>
    <w:bookmarkEnd w:id="87"/>
    <w:bookmarkStart w:id="88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Finding a common denominator is like</w:t>
      </w:r>
      <w:r>
        <w:t xml:space="preserve"> </w:t>
      </w:r>
      <w:r>
        <w:t xml:space="preserve">simplification, or cancelling down, in reverse.</w:t>
      </w:r>
    </w:p>
    <w:p>
      <w:pPr>
        <w:pStyle w:val="BodyText"/>
      </w:pPr>
      <w:r>
        <w:t xml:space="preserve">If we want to add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for example, we want</w:t>
      </w:r>
      <w:r>
        <w:t xml:space="preserve"> </w:t>
      </w:r>
      <w:r>
        <w:t xml:space="preserve">to rewrite the first fraction so that it has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as the denominator. To</w:t>
      </w:r>
      <w:r>
        <w:t xml:space="preserve"> </w:t>
      </w:r>
      <w:r>
        <w:t xml:space="preserve">do this, we multiply the top and bottom of the fraction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(Remember</w:t>
      </w:r>
      <w:r>
        <w:t xml:space="preserve"> </w:t>
      </w:r>
      <w:r>
        <w:t xml:space="preserve">to multiply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make sure the fractions are equivalent!)</w:t>
      </w:r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88"/>
    <w:bookmarkEnd w:id="89"/>
    <w:bookmarkStart w:id="115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 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 out the value we are free to</w:t>
      </w:r>
      <w:r>
        <w:t xml:space="preserve"> </w:t>
      </w:r>
      <w:r>
        <w:t xml:space="preserve">apply any mathematical operation we like to the equation so long as we</w:t>
      </w:r>
      <w:r>
        <w:t xml:space="preserve"> </w:t>
      </w:r>
      <w:r>
        <w:rPr>
          <w:iCs/>
          <w:i/>
        </w:rPr>
        <w:t xml:space="preserve">do the 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102" w:name="linear-equations"/>
    <w:p>
      <w:pPr>
        <w:pStyle w:val="Heading2"/>
      </w:pPr>
      <w:r>
        <w:t xml:space="preserve">5.1 Linear equations</w:t>
      </w:r>
    </w:p>
    <w:bookmarkStart w:id="94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3">
              <w:r>
                <w:drawing>
                  <wp:inline>
                    <wp:extent cx="5334000" cy="4311650"/>
                    <wp:effectExtent b="0" l="0" r="0" t="0"/>
                    <wp:docPr descr="" title="" id="91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2-1.png" id="9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4"/>
    <w:bookmarkStart w:id="101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To solve equations do the same thing to both sides.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If the unknown appears twice - collect like terms first.</w:t>
            </w:r>
          </w:p>
        </w:tc>
      </w:tr>
    </w:tbl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00">
              <w:r>
                <w:drawing>
                  <wp:inline>
                    <wp:extent cx="5334000" cy="4311650"/>
                    <wp:effectExtent b="0" l="0" r="0" t="0"/>
                    <wp:docPr descr="" title="" id="98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3-1.png" id="9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01"/>
    <w:bookmarkEnd w:id="102"/>
    <w:bookmarkStart w:id="105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 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Remember the following key point when using inequalities: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When multiplying or dividing by a negative number change the direction</w:t>
            </w:r>
            <w:r>
              <w:t xml:space="preserve"> </w:t>
            </w:r>
            <w:r>
              <w:t xml:space="preserve">of the inequality.</w:t>
            </w:r>
          </w:p>
        </w:tc>
      </w:tr>
    </w:tbl>
    <w:bookmarkEnd w:id="105"/>
    <w:bookmarkStart w:id="114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These pairs of solutions are often given as co-ordinate pairs like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3</m:t>
                  </m:r>
                </m:e>
              </m:d>
            </m:oMath>
            <w:r>
              <w:t xml:space="preserve">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100</m:t>
                  </m:r>
                  <m:r>
                    <m:rPr>
                      <m:sty m:val="p"/>
                    </m:rPr>
                    <m:t>,</m:t>
                  </m:r>
                  <m:r>
                    <m:t>104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  <m:r>
                    <m:rPr>
                      <m:sty m:val="p"/>
                    </m:rPr>
                    <m:t>,</m:t>
                  </m:r>
                  <m:r>
                    <m:t>3.9</m:t>
                  </m:r>
                </m:e>
              </m:d>
            </m:oMath>
            <w:r>
              <w:t xml:space="preserve">. We’ll do more about co-ordinates</w:t>
            </w:r>
            <w:r>
              <w:t xml:space="preserve"> </w:t>
            </w:r>
            <w:r>
              <w:t xml:space="preserve">later.</w:t>
            </w:r>
          </w:p>
        </w:tc>
      </w:tr>
    </w:tbl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112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1">
              <w:r>
                <w:drawing>
                  <wp:inline>
                    <wp:extent cx="5334000" cy="4311650"/>
                    <wp:effectExtent b="0" l="0" r="0" t="0"/>
                    <wp:docPr descr="" title="" id="109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6-1.png" id="11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0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12"/>
    <w:bookmarkStart w:id="113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113"/>
    <w:bookmarkEnd w:id="114"/>
    <w:bookmarkEnd w:id="115"/>
    <w:bookmarkStart w:id="150" w:name="straight-line-graphs"/>
    <w:p>
      <w:pPr>
        <w:pStyle w:val="Heading1"/>
      </w:pPr>
      <w:r>
        <w:t xml:space="preserve">6.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124" w:name="coordinates"/>
    <w:p>
      <w:pPr>
        <w:pStyle w:val="Heading2"/>
      </w:pPr>
      <w:r>
        <w:t xml:space="preserve">6.1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1.5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p>
      <w:pPr>
        <w:pStyle w:val="BodyText"/>
      </w:pPr>
      <w:r>
        <w:t xml:space="preserve">Once we have these values they can be plotted on graph.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9">
              <w:r>
                <w:drawing>
                  <wp:inline>
                    <wp:extent cx="5334000" cy="4267200"/>
                    <wp:effectExtent b="0" l="0" r="0" t="0"/>
                    <wp:docPr descr="" title="" id="11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2-1.png" id="11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3">
              <w:r>
                <w:drawing>
                  <wp:inline>
                    <wp:extent cx="5334000" cy="4267200"/>
                    <wp:effectExtent b="0" l="0" r="0" t="0"/>
                    <wp:docPr descr="" title="" id="121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3-1.png" id="1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4"/>
    <w:bookmarkStart w:id="149" w:name="X367c9030df9619969b375da1ec9c6797494a985"/>
    <w:p>
      <w:pPr>
        <w:pStyle w:val="Heading2"/>
      </w:pPr>
      <w:r>
        <w:t xml:space="preserve">6.2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129" w:name="the-y-intercept-c"/>
    <w:p>
      <w:pPr>
        <w:pStyle w:val="Heading3"/>
      </w:pPr>
      <w:r>
        <w:t xml:space="preserve">6.2.1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8">
              <w:r>
                <w:drawing>
                  <wp:inline>
                    <wp:extent cx="5334000" cy="4267200"/>
                    <wp:effectExtent b="0" l="0" r="0" t="0"/>
                    <wp:docPr descr="" title="" id="126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4-1.png" id="12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9"/>
    <w:bookmarkStart w:id="148" w:name="the-gradient-m"/>
    <w:p>
      <w:pPr>
        <w:pStyle w:val="Heading3"/>
      </w:pPr>
      <w:r>
        <w:t xml:space="preserve">6.2.2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 change in a quantity is often represented by the Greek letter delta,</w:t>
            </w:r>
            <w:r>
              <w:t xml:space="preserve"> </w:t>
            </w:r>
            <m:oMath>
              <m:r>
                <m:t>Δ</m:t>
              </m:r>
            </m:oMath>
            <w:r>
              <w:t xml:space="preserve">, so we can rewrite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as: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y</m:t>
                  </m:r>
                </m:num>
                <m:den>
                  <m:r>
                    <m:t>Δ</m:t>
                  </m:r>
                  <m:r>
                    <m:t>x</m:t>
                  </m:r>
                </m:den>
              </m:f>
            </m:oMath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5">
              <w:r>
                <w:drawing>
                  <wp:inline>
                    <wp:extent cx="5334000" cy="4267200"/>
                    <wp:effectExtent b="0" l="0" r="0" t="0"/>
                    <wp:docPr descr="" title="" id="13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6-1.png" id="13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9">
              <w:r>
                <w:drawing>
                  <wp:inline>
                    <wp:extent cx="5334000" cy="4267200"/>
                    <wp:effectExtent b="0" l="0" r="0" t="0"/>
                    <wp:docPr descr="" title="" id="13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7-1.png" id="13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is the gradient - the amount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changes for an incease in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in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direction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c</m:t>
              </m:r>
            </m:oMath>
            <w:r>
              <w:t xml:space="preserve"> </w:t>
            </w:r>
            <w:r>
              <w:t xml:space="preserve">where the line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only make sense when the line is in the form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Different notation - same thing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equation of a straight line can be written using different letters.</w:t>
            </w:r>
            <w:r>
              <w:t xml:space="preserve"> </w:t>
            </w:r>
            <w:r>
              <w:t xml:space="preserve">They all mean the same thing. You may see: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</m:oMath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</w:tr>
    </w:tbl>
    <w:p>
      <w:pPr>
        <w:pStyle w:val="FirstParagraph"/>
      </w:pPr>
      <w:r>
        <w:t xml:space="preserve">Using your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7">
              <w:r>
                <w:drawing>
                  <wp:inline>
                    <wp:extent cx="5334000" cy="4267200"/>
                    <wp:effectExtent b="0" l="0" r="0" t="0"/>
                    <wp:docPr descr="" title="" id="145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8-1.png" id="14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48"/>
    <w:bookmarkEnd w:id="149"/>
    <w:bookmarkEnd w:id="150"/>
    <w:bookmarkStart w:id="187" w:name="quadratics"/>
    <w:p>
      <w:pPr>
        <w:pStyle w:val="Heading1"/>
      </w:pPr>
      <w:r>
        <w:t xml:space="preserve">7.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known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4">
              <w:r>
                <w:drawing>
                  <wp:inline>
                    <wp:extent cx="5334000" cy="4267200"/>
                    <wp:effectExtent b="0" l="0" r="0" t="0"/>
                    <wp:docPr descr="" title="" id="152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1-1.png" id="15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155" w:name="expanding-paris-of-brackets"/>
    <w:p>
      <w:pPr>
        <w:pStyle w:val="Heading2"/>
      </w:pPr>
      <w:r>
        <w:t xml:space="preserve">7.1 Expanding paris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bookmarkEnd w:id="155"/>
    <w:bookmarkStart w:id="160" w:name="factorising-pairs-of-brackets"/>
    <w:p>
      <w:pPr>
        <w:pStyle w:val="Heading2"/>
      </w:pPr>
      <w:r>
        <w:t xml:space="preserve">7.2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,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 multiply to get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=</m:t>
          </m:r>
          <m:r>
            <m:t>b</m:t>
          </m:r>
          <m:r>
            <m:t> </m:t>
          </m:r>
          <m:r>
            <m:t> </m:t>
          </m:r>
          <m:r>
            <m:t>p</m:t>
          </m:r>
          <m:r>
            <m:rPr>
              <m:sty m:val="p"/>
            </m:rPr>
            <m:t>×</m:t>
          </m:r>
          <m:r>
            <m:t>q</m:t>
          </m:r>
          <m:r>
            <m:rPr>
              <m:sty m:val="p"/>
            </m:rPr>
            <m:t>=</m:t>
          </m:r>
          <m:r>
            <m:t>c</m:t>
          </m:r>
        </m:oMath>
      </m:oMathPara>
    </w:p>
    <w:p>
      <w:pPr>
        <w:pStyle w:val="FirstParagraph"/>
      </w:pPr>
      <w:r>
        <w:t xml:space="preserve">If we can find this pair of numbers we can factorise the quadratic. For</w:t>
      </w:r>
      <w:r>
        <w:t xml:space="preserve"> </w:t>
      </w:r>
      <w:r>
        <w:t xml:space="preserve">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 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9">
              <w:r>
                <w:drawing>
                  <wp:inline>
                    <wp:extent cx="5334000" cy="4311650"/>
                    <wp:effectExtent b="0" l="0" r="0" t="0"/>
                    <wp:docPr descr="" title="" id="157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2-1.png" id="15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0"/>
    <w:bookmarkStart w:id="176" w:name="solving-quadratics"/>
    <w:p>
      <w:pPr>
        <w:pStyle w:val="Heading2"/>
      </w:pPr>
      <w:r>
        <w:t xml:space="preserve">7.3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11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11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11"/>
        </w:numPr>
        <w:pStyle w:val="Compact"/>
      </w:pPr>
      <w:r>
        <w:t xml:space="preserve">no real values (only</w:t>
      </w:r>
      <w:r>
        <w:t xml:space="preserve"> </w:t>
      </w:r>
      <w:hyperlink r:id="rId161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168" w:name="factorisation"/>
    <w:p>
      <w:pPr>
        <w:pStyle w:val="Heading3"/>
      </w:pPr>
      <w:r>
        <w:t xml:space="preserve">7.3.1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can quickly get from the factorised quadratic to the solutions by</w:t>
            </w:r>
            <w:r>
              <w:t xml:space="preserve"> </w:t>
            </w:r>
            <w:r>
              <w:rPr>
                <w:iCs/>
                <w:i/>
              </w:rPr>
              <w:t xml:space="preserve">flipping</w:t>
            </w:r>
            <w:r>
              <w:t xml:space="preserve"> </w:t>
            </w:r>
            <w:r>
              <w:t xml:space="preserve">the signs in the bracket.</w:t>
            </w:r>
          </w:p>
        </w:tc>
      </w:tr>
    </w:tbl>
    <w:p>
      <w:pPr>
        <w:pStyle w:val="BodyText"/>
      </w:pPr>
      <w:r>
        <w:t xml:space="preserve">Try some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7">
              <w:r>
                <w:drawing>
                  <wp:inline>
                    <wp:extent cx="5334000" cy="4311650"/>
                    <wp:effectExtent b="0" l="0" r="0" t="0"/>
                    <wp:docPr descr="" title="" id="165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3-1.png" id="16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8"/>
    <w:bookmarkStart w:id="175" w:name="quadratic-formula"/>
    <w:p>
      <w:pPr>
        <w:pStyle w:val="Heading3"/>
      </w:pPr>
      <w:r>
        <w:t xml:space="preserve">7.3.2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quadratic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the use of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 It is common in maths to use</w:t>
            </w:r>
            <w:r>
              <w:t xml:space="preserve"> </w:t>
            </w:r>
            <w:r>
              <w:t xml:space="preserve">subscript numbers to show different particular values of the same</w:t>
            </w:r>
            <w:r>
              <w:t xml:space="preserve"> </w:t>
            </w:r>
            <w:r>
              <w:t xml:space="preserve">variable. That’s all it’s doing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74">
              <w:r>
                <w:drawing>
                  <wp:inline>
                    <wp:extent cx="5334000" cy="4311650"/>
                    <wp:effectExtent b="0" l="0" r="0" t="0"/>
                    <wp:docPr descr="" title="" id="172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4-1.png" id="17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75"/>
    <w:bookmarkEnd w:id="176"/>
    <w:bookmarkStart w:id="186" w:name="simultaneous-equations-1"/>
    <w:p>
      <w:pPr>
        <w:pStyle w:val="Heading2"/>
      </w:pPr>
      <w:r>
        <w:t xml:space="preserve">7.4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There are a few things to be careful of here: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was expanded as a pair of brackets,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before</w:t>
            </w:r>
            <w:r>
              <w:t xml:space="preserve"> </w:t>
            </w:r>
            <w:r>
              <w:t xml:space="preserve">being multiplied by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The finial stage was to make the equation equal zero so we can use</w:t>
            </w:r>
            <w:r>
              <w:t xml:space="preserve"> </w:t>
            </w:r>
            <w:r>
              <w:t xml:space="preserve">the quadratic formula.</w:t>
            </w:r>
          </w:p>
        </w:tc>
      </w:tr>
    </w:tbl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1.15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 to</w:t>
      </w:r>
      <w:r>
        <w:t xml:space="preserve"> </w:t>
      </w:r>
      <w:r>
        <w:t xml:space="preserve">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our answers look a lot like co-ordinates on a graph. That’s</w:t>
            </w:r>
            <w:r>
              <w:t xml:space="preserve"> </w:t>
            </w:r>
            <w:r>
              <w:t xml:space="preserve">because they are. If you plot the lines</w:t>
            </w:r>
            <w:r>
              <w:t xml:space="preserve"> </w:t>
            </w:r>
            <m:oMath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on the same graph (don’t do this by hand! Use something like</w:t>
            </w:r>
            <w:r>
              <w:t xml:space="preserve"> </w:t>
            </w:r>
            <w:hyperlink r:id="rId181">
              <w:r>
                <w:rPr>
                  <w:rStyle w:val="Hyperlink"/>
                </w:rPr>
                <w:t xml:space="preserve">desmos</w:t>
              </w:r>
            </w:hyperlink>
            <w:r>
              <w:t xml:space="preserve">) the places where the two</w:t>
            </w:r>
            <w:r>
              <w:t xml:space="preserve"> </w:t>
            </w:r>
            <w:r>
              <w:t xml:space="preserve">lines cross will correspond with our answers.</w:t>
            </w:r>
          </w:p>
        </w:tc>
      </w:tr>
    </w:tbl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85">
              <w:r>
                <w:drawing>
                  <wp:inline>
                    <wp:extent cx="5334000" cy="4311650"/>
                    <wp:effectExtent b="0" l="0" r="0" t="0"/>
                    <wp:docPr descr="" title="" id="183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5-1.png" id="18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8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86"/>
    <w:bookmarkEnd w:id="187"/>
    <w:bookmarkStart w:id="202" w:name="indices"/>
    <w:p>
      <w:pPr>
        <w:pStyle w:val="Heading1"/>
      </w:pPr>
      <w:r>
        <w:t xml:space="preserve">8.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193" w:name="index-notation"/>
    <w:p>
      <w:pPr>
        <w:pStyle w:val="Heading2"/>
      </w:pPr>
      <w:r>
        <w:t xml:space="preserve">8.1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except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then it’s undefined</w:t>
            </w:r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t>n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n</m:t>
                  </m:r>
                </m:deg>
                <m:e>
                  <m:r>
                    <m:t>x</m:t>
                  </m:r>
                </m:e>
              </m:rad>
            </m:oMath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When taking square roots remember there are two possible solutions.</w:t>
            </w:r>
            <w:r>
              <w:t xml:space="preserve"> </w:t>
            </w:r>
            <w:r>
              <w:t xml:space="preserve">Since in the above example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×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. So</w:t>
            </w:r>
            <w:r>
              <w:t xml:space="preserve"> </w:t>
            </w:r>
            <w:r>
              <w:t xml:space="preserve">either answer is just fine.</w:t>
            </w:r>
          </w:p>
        </w:tc>
      </w:tr>
    </w:tbl>
    <w:bookmarkStart w:id="192" w:name="but-why-1"/>
    <w:p>
      <w:pPr>
        <w:pStyle w:val="Heading3"/>
      </w:pPr>
      <w:r>
        <w:t xml:space="preserve">8.1.1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192"/>
    <w:bookmarkEnd w:id="193"/>
    <w:bookmarkStart w:id="201" w:name="rules-of-indices"/>
    <w:p>
      <w:pPr>
        <w:pStyle w:val="Heading2"/>
      </w:pPr>
      <w:r>
        <w:t xml:space="preserve">8.2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×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÷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×</m:t>
                  </m:r>
                  <m:r>
                    <m:t>m</m:t>
                  </m:r>
                </m:sup>
              </m:sSup>
            </m:oMath>
          </w:p>
        </w:tc>
      </w:tr>
    </w:tbl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15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5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15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5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99">
              <w:r>
                <w:drawing>
                  <wp:inline>
                    <wp:extent cx="5334000" cy="4311650"/>
                    <wp:effectExtent b="0" l="0" r="0" t="0"/>
                    <wp:docPr descr="" title="" id="197" name="Picture"/>
                    <a:graphic>
                      <a:graphicData uri="http://schemas.openxmlformats.org/drawingml/2006/picture">
                        <pic:pic>
                          <pic:nvPicPr>
                            <pic:cNvPr descr="./08-indices_files/figure-docx/unnamed-chunk-1-1.png" id="19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00" w:name="but-why-square-roots"/>
    <w:p>
      <w:pPr>
        <w:pStyle w:val="Heading3"/>
      </w:pPr>
      <w:r>
        <w:t xml:space="preserve">8.2.1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200"/>
    <w:bookmarkEnd w:id="201"/>
    <w:bookmarkEnd w:id="202"/>
    <w:bookmarkStart w:id="216" w:name="differentiation"/>
    <w:p>
      <w:pPr>
        <w:pStyle w:val="Heading1"/>
      </w:pPr>
      <w:r>
        <w:t xml:space="preserve">9.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technique, called differentiation, that will give us a</w:t>
      </w:r>
      <w:r>
        <w:t xml:space="preserve"> </w:t>
      </w:r>
      <w:r>
        <w:t xml:space="preserve">rule (a new function) to work out the gradient at any point on the</w:t>
      </w:r>
      <w:r>
        <w:t xml:space="preserve"> </w:t>
      </w:r>
      <w:r>
        <w:t xml:space="preserve">curve.</w:t>
      </w:r>
    </w:p>
    <w:bookmarkStart w:id="207" w:name="the-tangent-to-a-curve"/>
    <w:p>
      <w:pPr>
        <w:pStyle w:val="Heading2"/>
      </w:pPr>
      <w:r>
        <w:t xml:space="preserve">9.1 The tangent to a curve</w:t>
      </w:r>
    </w:p>
    <w:p>
      <w:pPr>
        <w:pStyle w:val="FirstParagraph"/>
      </w:pPr>
      <w:r>
        <w:t xml:space="preserve">The gradient at a point on a curve is the same as the gradient of the</w:t>
      </w:r>
      <w:r>
        <w:t xml:space="preserve"> </w:t>
      </w:r>
      <w:r>
        <w:t xml:space="preserve">tangent at that point. A tangent to a curve is a straight line that just</w:t>
      </w:r>
      <w:r>
        <w:t xml:space="preserve"> </w:t>
      </w:r>
      <w:r>
        <w:t xml:space="preserve">touches curve at that point. Below is a picture of the tangent to the</w:t>
      </w:r>
      <w:r>
        <w:t xml:space="preserve"> </w:t>
      </w:r>
      <w:r>
        <w:t xml:space="preserve">curve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You can open up the graph and move the point around</w:t>
      </w:r>
      <w:r>
        <w:t xml:space="preserve"> </w:t>
      </w:r>
      <w:r>
        <w:t xml:space="preserve">with the slider.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6">
              <w:r>
                <w:drawing>
                  <wp:inline>
                    <wp:extent cx="5334000" cy="4267200"/>
                    <wp:effectExtent b="0" l="0" r="0" t="0"/>
                    <wp:docPr descr="" title="" id="204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1-1.png" id="20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that the gradient will change depending on which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you</w:t>
      </w:r>
      <w:r>
        <w:t xml:space="preserve"> </w:t>
      </w:r>
      <w:r>
        <w:t xml:space="preserve">use.</w:t>
      </w:r>
    </w:p>
    <w:bookmarkEnd w:id="207"/>
    <w:bookmarkStart w:id="214" w:name="the-rules-of-differentiation"/>
    <w:p>
      <w:pPr>
        <w:pStyle w:val="Heading2"/>
      </w:pPr>
      <w:r>
        <w:t xml:space="preserve">9.2 The rules of differentiation</w:t>
      </w:r>
    </w:p>
    <w:p>
      <w:pPr>
        <w:pStyle w:val="FirstParagraph"/>
      </w:pPr>
      <w:r>
        <w:t xml:space="preserve">Luckily finding the rule to get the gradient of a curve is straight</w:t>
      </w:r>
      <w:r>
        <w:t xml:space="preserve"> </w:t>
      </w:r>
      <w:r>
        <w:t xml:space="preserve">forward. The language we use for this process is like this. When</w:t>
      </w:r>
      <w:r>
        <w:t xml:space="preserve"> </w:t>
      </w:r>
      <w:r>
        <w:t xml:space="preserve">function is differentiated a new function, the derivative, is found. The</w:t>
      </w:r>
      <w:r>
        <w:t xml:space="preserve"> </w:t>
      </w:r>
      <w:r>
        <w:t xml:space="preserve">derivative enables you to find the gradient. There are lots of ways</w:t>
      </w:r>
      <w:r>
        <w:t xml:space="preserve"> </w:t>
      </w:r>
      <w:r>
        <w:t xml:space="preserve">write this in mathematical notation. Here are the most common.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</w:tbl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 pronounced</w:t>
      </w:r>
      <w:r>
        <w:t xml:space="preserve"> </w:t>
      </w:r>
      <w:r>
        <w:t xml:space="preserve">‘</w:t>
      </w:r>
      <w:r>
        <w:t xml:space="preserve">dee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dee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, 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read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f dash of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.</w:t>
      </w:r>
    </w:p>
    <w:p>
      <w:pPr>
        <w:pStyle w:val="BodyText"/>
      </w:pPr>
      <w:r>
        <w:t xml:space="preserve">The rule for differentiating polynomials (functions made up of adding</w:t>
      </w:r>
      <w:r>
        <w:t xml:space="preserve"> </w:t>
      </w:r>
      <w:r>
        <w:t xml:space="preserve">different powers of</w:t>
      </w:r>
      <w:r>
        <w:t xml:space="preserve"> </w:t>
      </w:r>
      <m:oMath>
        <m:r>
          <m:t>x</m:t>
        </m:r>
      </m:oMath>
      <w:r>
        <w:t xml:space="preserve">)is: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6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, or,</w:t>
            </w:r>
          </w:p>
          <w:p>
            <w:pPr>
              <w:numPr>
                <w:ilvl w:val="0"/>
                <w:numId w:val="1016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 </w:t>
            </w:r>
            <w:r>
              <w:rPr>
                <w:bCs/>
                <w:b/>
              </w:rPr>
              <w:t xml:space="preserve">Times by the power, then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take one off the power</w:t>
            </w:r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Multiple terms added together are differentiated one by one then added</w:t>
      </w:r>
      <w:r>
        <w:t xml:space="preserve"> </w:t>
      </w:r>
      <w:r>
        <w:t xml:space="preserve">together: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In the above example we’ve used the following mathematical facts:</w:t>
      </w:r>
    </w:p>
    <w:p>
      <w:pPr>
        <w:numPr>
          <w:ilvl w:val="0"/>
          <w:numId w:val="1017"/>
        </w:numPr>
        <w:pStyle w:val="Compact"/>
      </w:pP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 it’s own is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</w:p>
    <w:p>
      <w:pPr>
        <w:numPr>
          <w:ilvl w:val="0"/>
          <w:numId w:val="1017"/>
        </w:numPr>
        <w:pStyle w:val="Compac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you can always multiply by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since it’s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17"/>
        </w:numPr>
        <w:pStyle w:val="Compact"/>
      </w:pPr>
      <m:oMath>
        <m:r>
          <m:t>0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anything times zero is zero</w:t>
      </w:r>
    </w:p>
    <w:p>
      <w:pPr>
        <w:pStyle w:val="FirstParagraph"/>
      </w:pPr>
      <w:r>
        <w:t xml:space="preserve">The take away from this is that constant terms, terms without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in,</w:t>
      </w:r>
      <w:r>
        <w:t xml:space="preserve"> </w:t>
      </w:r>
      <w:r>
        <w:t xml:space="preserve">disappear, and terms with just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loose the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Try these questions to get to grips with the rules of differentiation.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3">
              <w:r>
                <w:drawing>
                  <wp:inline>
                    <wp:extent cx="5334000" cy="4311650"/>
                    <wp:effectExtent b="0" l="0" r="0" t="0"/>
                    <wp:docPr descr="" title="" id="211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2-1.png" id="21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14"/>
    <w:bookmarkStart w:id="215" w:name="finding-gradient-at-a-point"/>
    <w:p>
      <w:pPr>
        <w:pStyle w:val="Heading2"/>
      </w:pPr>
      <w:r>
        <w:t xml:space="preserve">9.3 Finding gradient at a point</w:t>
      </w:r>
    </w:p>
    <w:p>
      <w:pPr>
        <w:pStyle w:val="FirstParagraph"/>
      </w:pPr>
      <w:r>
        <w:t xml:space="preserve">To find the gradient at a point. Differentiate the original function and</w:t>
      </w:r>
      <w:r>
        <w:t xml:space="preserve"> </w:t>
      </w:r>
      <w:r>
        <w:t xml:space="preserve">then substitute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 of the point into the derivative.</w:t>
      </w:r>
    </w:p>
    <w:p>
      <w:pPr>
        <w:pStyle w:val="BodyText"/>
      </w:pPr>
      <w:r>
        <w:t xml:space="preserve">For example to find the gradient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for the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We</w:t>
      </w:r>
      <w:r>
        <w:t xml:space="preserve"> </w:t>
      </w:r>
      <w:r>
        <w:t xml:space="preserve">would differentiate and then substitute 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So the gradient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on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6</m:t>
        </m:r>
      </m:oMath>
      <w:r>
        <w:t xml:space="preserve">.</w:t>
      </w:r>
    </w:p>
    <w:bookmarkEnd w:id="215"/>
    <w:bookmarkEnd w:id="216"/>
    <w:bookmarkStart w:id="237" w:name="exponential-functions"/>
    <w:p>
      <w:pPr>
        <w:pStyle w:val="Heading1"/>
      </w:pPr>
      <w:r>
        <w:t xml:space="preserve">10. Exponential functions</w:t>
      </w:r>
    </w:p>
    <w:p>
      <w:pPr>
        <w:pStyle w:val="FirstParagraph"/>
      </w:pPr>
      <w:r>
        <w:t xml:space="preserve">Exponential functions crop up in applied mathematics everywhere. This</w:t>
      </w:r>
      <w:r>
        <w:t xml:space="preserve"> </w:t>
      </w:r>
      <w:r>
        <w:t xml:space="preserve">section looks at these important functions, so important that, Professor</w:t>
      </w:r>
      <w:r>
        <w:t xml:space="preserve"> </w:t>
      </w:r>
      <w:r>
        <w:t xml:space="preserve">Albert Bartlett said the following about them in this lecture</w:t>
      </w:r>
      <w:r>
        <w:t xml:space="preserve"> </w:t>
      </w:r>
      <w:hyperlink r:id="rId217">
        <w:r>
          <w:rPr>
            <w:rStyle w:val="Hyperlink"/>
          </w:rPr>
          <w:t xml:space="preserve">Arithmetic, Population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Energy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The greatest shortcoming of the human race is our inability to</w:t>
      </w:r>
      <w:r>
        <w:rPr>
          <w:iCs/>
          <w:i/>
        </w:rPr>
        <w:t xml:space="preserve"> </w:t>
      </w:r>
      <w:r>
        <w:rPr>
          <w:iCs/>
          <w:i/>
        </w:rPr>
        <w:t xml:space="preserve">understand the exponential function.</w:t>
      </w:r>
    </w:p>
    <w:bookmarkStart w:id="224" w:name="getting-to-know-exponential-functions"/>
    <w:p>
      <w:pPr>
        <w:pStyle w:val="Heading2"/>
      </w:pPr>
      <w:r>
        <w:t xml:space="preserve">10.1 Getting to know exponential functions</w:t>
      </w:r>
    </w:p>
    <w:p>
      <w:pPr>
        <w:pStyle w:val="FirstParagraph"/>
      </w:pPr>
      <w:r>
        <w:t xml:space="preserve">An exponential function comes in the for,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They can increase</w:t>
      </w:r>
      <w:r>
        <w:t xml:space="preserve"> </w:t>
      </w:r>
      <w:r>
        <w:t xml:space="preserve">incredibly fast.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</m:oMath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1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r>
                <m:t>16</m:t>
              </m:r>
            </m:oMath>
          </w:p>
        </w:tc>
      </w:tr>
    </w:tbl>
    <w:p>
      <w:pPr>
        <w:pStyle w:val="BodyText"/>
      </w:pPr>
      <w:r>
        <w:t xml:space="preserve">Plotting these points give a graph that looks like: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1">
              <w:r>
                <w:drawing>
                  <wp:inline>
                    <wp:extent cx="5334000" cy="4267200"/>
                    <wp:effectExtent b="0" l="0" r="0" t="0"/>
                    <wp:docPr descr="" title="" id="219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1-1.png" id="22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the following key points about the graph.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8"/>
              </w:numPr>
              <w:pStyle w:val="Compact"/>
            </w:pPr>
            <w:r>
              <w:t xml:space="preserve">The graph quickly increases.</w:t>
            </w:r>
          </w:p>
          <w:p>
            <w:pPr>
              <w:numPr>
                <w:ilvl w:val="0"/>
                <w:numId w:val="1018"/>
              </w:numPr>
              <w:pStyle w:val="Compact"/>
            </w:pPr>
            <w:r>
              <w:t xml:space="preserve">It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 at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(all exponential graphs do this).</w:t>
            </w:r>
          </w:p>
          <w:p>
            <w:pPr>
              <w:numPr>
                <w:ilvl w:val="0"/>
                <w:numId w:val="1018"/>
              </w:numPr>
              <w:pStyle w:val="Compact"/>
            </w:pPr>
            <w:r>
              <w:t xml:space="preserve">It never goes under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axis.</w:t>
            </w:r>
          </w:p>
        </w:tc>
      </w:tr>
    </w:tbl>
    <w:bookmarkEnd w:id="224"/>
    <w:bookmarkStart w:id="231" w:name="the-exponetial-function"/>
    <w:p>
      <w:pPr>
        <w:pStyle w:val="Heading2"/>
      </w:pPr>
      <w:r>
        <w:t xml:space="preserve">10.2 The exponetial function</w:t>
      </w:r>
    </w:p>
    <w:p>
      <w:pPr>
        <w:pStyle w:val="FirstParagraph"/>
      </w:pPr>
      <w:r>
        <w:t xml:space="preserve">There is one exponential function that is so important that it is called</w:t>
      </w:r>
      <w:r>
        <w:t xml:space="preserve"> </w:t>
      </w:r>
      <w:r>
        <w:rPr>
          <w:bCs/>
          <w:b/>
        </w:rPr>
        <w:t xml:space="preserve">the</w:t>
      </w:r>
      <w:r>
        <w:t xml:space="preserve"> </w:t>
      </w:r>
      <w:r>
        <w:t xml:space="preserve">exponential function. It is written as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irrational number (an infinitely long decimal number that doesn’t repeat</w:t>
      </w:r>
      <w:r>
        <w:t xml:space="preserve"> </w:t>
      </w:r>
      <w:r>
        <w:t xml:space="preserve">itself,</w:t>
      </w:r>
      <w:r>
        <w:t xml:space="preserve"> </w:t>
      </w:r>
      <m:oMath>
        <m:r>
          <m:rPr>
            <m:sty m:val="p"/>
          </m:rPr>
          <m:t>/</m:t>
        </m:r>
        <m:r>
          <m:t>p</m:t>
        </m:r>
        <m:r>
          <m:t>i</m:t>
        </m:r>
      </m:oMath>
      <w:r>
        <w:t xml:space="preserve"> </w:t>
      </w:r>
      <w:r>
        <w:t xml:space="preserve">is an irrational number too). The value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2.71828182845904523536028747135266249775724709369995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ish.</w:t>
      </w:r>
    </w:p>
    <w:p>
      <w:pPr>
        <w:pStyle w:val="BodyText"/>
      </w:pPr>
      <w:r>
        <w:t xml:space="preserve">The reason why it is special is that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the derivative is</w:t>
      </w:r>
      <w:r>
        <w:t xml:space="preserve"> </w:t>
      </w:r>
      <w:r>
        <w:t xml:space="preserve">itself, that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Below is a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it</w:t>
      </w:r>
      <w:r>
        <w:t xml:space="preserve"> </w:t>
      </w:r>
      <w:r>
        <w:t xml:space="preserve">derivative, you can open it up and change the value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set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begin with, notice how the derivative is</w:t>
      </w:r>
      <w:r>
        <w:t xml:space="preserve"> </w:t>
      </w:r>
      <w:r>
        <w:t xml:space="preserve">beneath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When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increased the derivative moves</w:t>
      </w:r>
      <w:r>
        <w:t xml:space="preserve"> </w:t>
      </w:r>
      <w:r>
        <w:t xml:space="preserve">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 point where the two curves overlap is when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8">
              <w:r>
                <w:drawing>
                  <wp:inline>
                    <wp:extent cx="5334000" cy="4267200"/>
                    <wp:effectExtent b="0" l="0" r="0" t="0"/>
                    <wp:docPr descr="" title="" id="226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2-1.png" id="22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bookmarkEnd w:id="231"/>
    <w:bookmarkStart w:id="236" w:name="differentiating-ex"/>
    <w:p>
      <w:pPr>
        <w:pStyle w:val="Heading2"/>
      </w:pPr>
      <w:r>
        <w:t xml:space="preserve">10.3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a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35">
              <w:r>
                <w:drawing>
                  <wp:inline>
                    <wp:extent cx="5334000" cy="4311650"/>
                    <wp:effectExtent b="0" l="0" r="0" t="0"/>
                    <wp:docPr descr="" title="" id="233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3-1.png" id="23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36"/>
    <w:bookmarkEnd w:id="237"/>
    <w:bookmarkStart w:id="267" w:name="logarithms"/>
    <w:p>
      <w:pPr>
        <w:pStyle w:val="Heading1"/>
      </w:pPr>
      <w:r>
        <w:t xml:space="preserve">11. Logarithms</w:t>
      </w:r>
    </w:p>
    <w:p>
      <w:pPr>
        <w:pStyle w:val="FirstParagraph"/>
      </w:pPr>
      <w:r>
        <w:t xml:space="preserve">Logarithms, or logs for short, are the same as powers just written in</w:t>
      </w:r>
      <w:r>
        <w:t xml:space="preserve"> </w:t>
      </w:r>
      <w:r>
        <w:t xml:space="preserve">another way.</w:t>
      </w:r>
    </w:p>
    <w:bookmarkStart w:id="240" w:name="reverse-of-indices"/>
    <w:p>
      <w:pPr>
        <w:pStyle w:val="Heading2"/>
      </w:pPr>
      <w:r>
        <w:t xml:space="preserve">11.1 Reverse of indices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</w:t>
            </w:r>
          </w:p>
        </w:tc>
      </w:tr>
    </w:tbl>
    <w:p>
      <w:pPr>
        <w:pStyle w:val="BodyText"/>
      </w:pPr>
      <m:oMath>
        <m:r>
          <m:t>a</m:t>
        </m:r>
      </m:oMath>
      <w:r>
        <w:t xml:space="preserve"> </w:t>
      </w:r>
      <w:r>
        <w:t xml:space="preserve">is called the base of the logarithm. When dealing with logs it’s</w:t>
      </w:r>
      <w:r>
        <w:t xml:space="preserve"> </w:t>
      </w:r>
      <w:r>
        <w:t xml:space="preserve">often useful to think of a numerical example to keep the idea straight</w:t>
      </w:r>
      <w:r>
        <w:t xml:space="preserve"> </w:t>
      </w:r>
      <w:r>
        <w:t xml:space="preserve">in your head.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1000</m:t>
                </m:r>
              </m:e>
            </m:mr>
          </m:m>
        </m:oMath>
      </m:oMathPara>
    </w:p>
    <w:p>
      <w:pPr>
        <w:pStyle w:val="FirstParagraph"/>
      </w:pPr>
      <w:r>
        <w:t xml:space="preserve">This is the same fact written in index notation and as a logarithm.</w:t>
      </w:r>
    </w:p>
    <w:bookmarkEnd w:id="240"/>
    <w:bookmarkStart w:id="247" w:name="rules-of-logarithms"/>
    <w:p>
      <w:pPr>
        <w:pStyle w:val="Heading2"/>
      </w:pPr>
      <w:r>
        <w:t xml:space="preserve">11.2 Rules of logarithms</w:t>
      </w:r>
    </w:p>
    <w:p>
      <w:pPr>
        <w:pStyle w:val="FirstParagraph"/>
      </w:pPr>
      <w:r>
        <w:t xml:space="preserve">Just as there are rules when dealing with indices, there are the</w:t>
      </w:r>
      <w:r>
        <w:t xml:space="preserve"> </w:t>
      </w:r>
      <w:r>
        <w:t xml:space="preserve">corresponding rules when dealing with logarithms too.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9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t>y</m:t>
              </m:r>
            </m:oMath>
          </w:p>
          <w:p>
            <w:pPr>
              <w:numPr>
                <w:ilvl w:val="0"/>
                <w:numId w:val="1019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oMath>
          </w:p>
          <w:p>
            <w:pPr>
              <w:numPr>
                <w:ilvl w:val="0"/>
                <w:numId w:val="1019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=</m:t>
              </m:r>
              <m:r>
                <m:t>n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We can use these rules to manipulate algebraic expressions. For example,</w:t>
      </w:r>
      <w:r>
        <w:t xml:space="preserve"> </w:t>
      </w:r>
      <w:r>
        <w:t xml:space="preserve">let’s write the following as a single logarithm: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8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40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This is how it was done: * First we used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* then the 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, * and finally, the subtraction</w:t>
      </w:r>
      <w:r>
        <w:t xml:space="preserve"> </w:t>
      </w:r>
      <w:r>
        <w:t xml:space="preserve">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 * Then notice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Have a go at these simplification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6">
              <w:r>
                <w:drawing>
                  <wp:inline>
                    <wp:extent cx="5334000" cy="4311650"/>
                    <wp:effectExtent b="0" l="0" r="0" t="0"/>
                    <wp:docPr descr="" title="" id="244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1-1.png" id="24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7"/>
    <w:bookmarkStart w:id="252" w:name="solving-equations-with-logarithms-in"/>
    <w:p>
      <w:pPr>
        <w:pStyle w:val="Heading2"/>
      </w:pPr>
      <w:r>
        <w:t xml:space="preserve">11.3 Solving equations with logarithms in</w:t>
      </w:r>
    </w:p>
    <w:p>
      <w:pPr>
        <w:pStyle w:val="FirstParagraph"/>
      </w:pPr>
      <w:r>
        <w:t xml:space="preserve">For example, let’s solve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250</m:t>
        </m:r>
      </m:oMath>
      <w:r>
        <w:t xml:space="preserve">.</w:t>
      </w:r>
      <w:r>
        <w:t xml:space="preserve"> </w:t>
      </w:r>
      <w:r>
        <w:t xml:space="preserve">First we’ll apply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then the</w:t>
      </w:r>
      <w:r>
        <w:t xml:space="preserve"> </w:t>
      </w:r>
      <w:r>
        <w:t xml:space="preserve">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</m:m>
        </m:oMath>
      </m:oMathPara>
    </w:p>
    <w:p>
      <w:pPr>
        <w:pStyle w:val="FirstParagraph"/>
      </w:pPr>
      <w:r>
        <w:t xml:space="preserve">Now since the two sides are equal the values inside the logarithm must</w:t>
      </w:r>
      <w:r>
        <w:t xml:space="preserve"> </w:t>
      </w:r>
      <w:r>
        <w:t xml:space="preserve">be equal. We can then go ahead and solve the resulting equation as</w:t>
      </w:r>
      <w:r>
        <w:t xml:space="preserve"> </w:t>
      </w:r>
      <w:r>
        <w:t xml:space="preserve">normal.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250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125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ad>
                  <m:deg>
                    <m:r>
                      <m:t>3</m:t>
                    </m:r>
                  </m:deg>
                  <m:e>
                    <m:r>
                      <m:t>125</m:t>
                    </m:r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Have a go at the following questions: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51">
              <w:r>
                <w:drawing>
                  <wp:inline>
                    <wp:extent cx="5334000" cy="4311650"/>
                    <wp:effectExtent b="0" l="0" r="0" t="0"/>
                    <wp:docPr descr="" title="" id="249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2-1.png" id="25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2"/>
    <w:bookmarkStart w:id="259" w:name="some-important-bases"/>
    <w:p>
      <w:pPr>
        <w:pStyle w:val="Heading2"/>
      </w:pPr>
      <w:r>
        <w:t xml:space="preserve">11.4 Some important bases</w:t>
      </w:r>
    </w:p>
    <w:p>
      <w:pPr>
        <w:pStyle w:val="FirstParagraph"/>
      </w:pPr>
      <w:r>
        <w:t xml:space="preserve">Some bases in logarithms come up more than others, becasuse of that some</w:t>
      </w:r>
      <w:r>
        <w:t xml:space="preserve"> </w:t>
      </w:r>
      <w:r>
        <w:t xml:space="preserve">bases have their own notation.</w:t>
      </w:r>
    </w:p>
    <w:bookmarkStart w:id="255" w:name="the-natural-logarithm"/>
    <w:p>
      <w:pPr>
        <w:pStyle w:val="Heading3"/>
      </w:pPr>
      <w:r>
        <w:t xml:space="preserve">11.4.1 The natural logarithm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it’s base is known as the natural logarithm</w:t>
      </w:r>
      <w:r>
        <w:t xml:space="preserve"> </w:t>
      </w:r>
      <w:r>
        <w:t xml:space="preserve">and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e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</m:oMath>
            </m:oMathPara>
          </w:p>
        </w:tc>
      </w:tr>
    </w:tbl>
    <w:bookmarkEnd w:id="255"/>
    <w:bookmarkStart w:id="258" w:name="base-10"/>
    <w:p>
      <w:pPr>
        <w:pStyle w:val="Heading3"/>
      </w:pPr>
      <w:r>
        <w:t xml:space="preserve">11.4.2 Base 10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as it’s base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log</m:t>
                </m:r>
                <m:r>
                  <m:t>x</m:t>
                </m:r>
              </m:oMath>
            </m:oMathPara>
          </w:p>
        </w:tc>
      </w:tr>
    </w:tbl>
    <w:p>
      <w:pPr>
        <w:pStyle w:val="FirstParagraph"/>
      </w:pPr>
      <w:r>
        <w:t xml:space="preserve">You just don’t bother writing the base.</w:t>
      </w:r>
    </w:p>
    <w:bookmarkEnd w:id="258"/>
    <w:bookmarkEnd w:id="259"/>
    <w:bookmarkStart w:id="266" w:name="differentiating-lnx"/>
    <w:p>
      <w:pPr>
        <w:pStyle w:val="Heading2"/>
      </w:pPr>
      <w:r>
        <w:t xml:space="preserve">11.5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t xml:space="preserve">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x</m:t>
                  </m:r>
                </m:den>
              </m:f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65">
              <w:r>
                <w:drawing>
                  <wp:inline>
                    <wp:extent cx="5334000" cy="4311650"/>
                    <wp:effectExtent b="0" l="0" r="0" t="0"/>
                    <wp:docPr descr="" title="" id="263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3-1.png" id="26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6"/>
    <w:bookmarkEnd w:id="267"/>
    <w:bookmarkStart w:id="288" w:name="further-differentiation"/>
    <w:p>
      <w:pPr>
        <w:pStyle w:val="Heading1"/>
      </w:pPr>
      <w:r>
        <w:t xml:space="preserve">12. Further differentiation</w:t>
      </w:r>
    </w:p>
    <w:p>
      <w:pPr>
        <w:pStyle w:val="FirstParagraph"/>
      </w:pPr>
      <w:r>
        <w:t xml:space="preserve">So far we have looked at differentiating powers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when they are</w:t>
      </w:r>
      <w:r>
        <w:t xml:space="preserve"> </w:t>
      </w:r>
      <w:r>
        <w:t xml:space="preserve">added together. This section introduces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, then goes on to look at how to differentiate, functions inside</w:t>
      </w:r>
      <w:r>
        <w:t xml:space="preserve"> </w:t>
      </w:r>
      <w:r>
        <w:t xml:space="preserve">functions, products of functions (when functions are multiplied</w:t>
      </w:r>
      <w:r>
        <w:t xml:space="preserve"> </w:t>
      </w:r>
      <w:r>
        <w:t xml:space="preserve">together) and quotients of functions (when functions are divided by each</w:t>
      </w:r>
      <w:r>
        <w:t xml:space="preserve"> </w:t>
      </w:r>
      <w:r>
        <w:t xml:space="preserve">other).</w:t>
      </w:r>
    </w:p>
    <w:bookmarkStart w:id="272" w:name="standard-results"/>
    <w:p>
      <w:pPr>
        <w:pStyle w:val="Heading2"/>
      </w:pPr>
      <w:r>
        <w:t xml:space="preserve">12.1 Standard results</w:t>
      </w:r>
    </w:p>
    <w:p>
      <w:pPr>
        <w:pStyle w:val="FirstParagraph"/>
      </w:pPr>
      <w:r>
        <w:t xml:space="preserve">We can now expand our table of derivatives. Here are all the rules from</w:t>
      </w:r>
      <w:r>
        <w:t xml:space="preserve"> </w:t>
      </w:r>
      <w:r>
        <w:t xml:space="preserve">the last differentiation along with some new ones.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We can now happily just apply the rules (and some rules of indices for</w:t>
      </w:r>
      <w:r>
        <w:t xml:space="preserve"> </w:t>
      </w:r>
      <w:r>
        <w:t xml:space="preserve">good measure).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was rewritten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to be able to apply</w:t>
      </w:r>
      <w:r>
        <w:t xml:space="preserve"> </w:t>
      </w:r>
      <w:r>
        <w:t xml:space="preserve">the rule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goes to</w:t>
      </w:r>
      <w:r>
        <w:t xml:space="preserve"> </w:t>
      </w:r>
      <m:oMath>
        <m:r>
          <m:t>a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Try some differentiation with some fractional powers: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1">
              <w:r>
                <w:drawing>
                  <wp:inline>
                    <wp:extent cx="5334000" cy="4311650"/>
                    <wp:effectExtent b="0" l="0" r="0" t="0"/>
                    <wp:docPr descr="" title="" id="269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1-1.png" id="27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2"/>
    <w:bookmarkStart w:id="277" w:name="the-chain-rule"/>
    <w:p>
      <w:pPr>
        <w:pStyle w:val="Heading2"/>
      </w:pPr>
      <w:r>
        <w:t xml:space="preserve">12.2 The chain rule</w:t>
      </w:r>
    </w:p>
    <w:p>
      <w:pPr>
        <w:pStyle w:val="FirstParagraph"/>
      </w:pPr>
      <w:r>
        <w:t xml:space="preserve">The chain rule is used when we have functions inside other functions.</w:t>
      </w:r>
    </w:p>
    <w:p>
      <w:pPr>
        <w:pStyle w:val="BodyText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sometimes described as a</w:t>
      </w:r>
      <w:r>
        <w:t xml:space="preserve"> </w:t>
      </w:r>
      <w:r>
        <w:t xml:space="preserve">function of a function, to calculate its derivative we need to use the</w:t>
      </w:r>
      <w:r>
        <w:t xml:space="preserve"> </w:t>
      </w:r>
      <w:r>
        <w:t xml:space="preserve">chain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, 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; Calculate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Write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as a product</w:t>
      </w:r>
      <w:r>
        <w:t xml:space="preserve"> </w:t>
      </w:r>
      <w:r>
        <w:t xml:space="preserve">of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Make sure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. Ensure any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terms have been replaced using the</w:t>
      </w:r>
      <w:r>
        <w:t xml:space="preserve"> </w:t>
      </w:r>
      <w:r>
        <w:t xml:space="preserve">initial substitution.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Since the</w:t>
      </w:r>
      <w:r>
        <w:t xml:space="preserve"> </w:t>
      </w:r>
      <w:r>
        <w:t xml:space="preserve">function is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we are looking for the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So, for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 we now set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we can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u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Next, we calculate the two derivatives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8</m:t>
          </m:r>
          <m:r>
            <m:t>x</m:t>
          </m:r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4</m:t>
          </m:r>
          <m:sSup>
            <m:e>
              <m:r>
                <m:t>u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Plugging these into the chain rule: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u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32</m:t>
                </m:r>
                <m:r>
                  <m:t>x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Finally, we need to express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, so we</w:t>
      </w:r>
      <w:r>
        <w:t xml:space="preserve"> </w:t>
      </w:r>
      <w:r>
        <w:t xml:space="preserve">must replace the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 using the initial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32</m:t>
          </m:r>
          <m:r>
            <m:t>x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Phew! Time for a cup of tea, or maybe some more questions…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6">
              <w:r>
                <w:drawing>
                  <wp:inline>
                    <wp:extent cx="5334000" cy="4311650"/>
                    <wp:effectExtent b="0" l="0" r="0" t="0"/>
                    <wp:docPr descr="" title="" id="274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2-1.png" id="27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7"/>
    <w:bookmarkStart w:id="282" w:name="the-product-rule"/>
    <w:p>
      <w:pPr>
        <w:pStyle w:val="Heading2"/>
      </w:pPr>
      <w:r>
        <w:t xml:space="preserve">12.3 The product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to calculate its</w:t>
      </w:r>
      <w:r>
        <w:t xml:space="preserve"> </w:t>
      </w:r>
      <w:r>
        <w:t xml:space="preserve">derivative we need to use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product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product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your turn…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1">
              <w:r>
                <w:drawing>
                  <wp:inline>
                    <wp:extent cx="5334000" cy="4311650"/>
                    <wp:effectExtent b="0" l="0" r="0" t="0"/>
                    <wp:docPr descr="" title="" id="279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3-1.png" id="28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2"/>
    <w:bookmarkStart w:id="287" w:name="the-quotient-rule"/>
    <w:p>
      <w:pPr>
        <w:pStyle w:val="Heading2"/>
      </w:pPr>
      <w:r>
        <w:t xml:space="preserve">12.4 The quotient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lin"/>
          </m:fPr>
          <m:num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 to calculate</w:t>
      </w:r>
      <w:r>
        <w:t xml:space="preserve"> </w:t>
      </w:r>
      <w:r>
        <w:t xml:space="preserve">its derivative we need to use the quotient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v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num>
            <m:den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quotient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</m:num>
            <m:den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2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quotient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v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8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e>
                        </m:d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have a go at these: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6">
              <w:r>
                <w:drawing>
                  <wp:inline>
                    <wp:extent cx="5334000" cy="4311650"/>
                    <wp:effectExtent b="0" l="0" r="0" t="0"/>
                    <wp:docPr descr="" title="" id="284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4-1.png" id="28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8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7"/>
    <w:bookmarkEnd w:id="2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6" Target="media/rId66.png" /><Relationship Type="http://schemas.openxmlformats.org/officeDocument/2006/relationships/image" Id="rId74" Target="media/rId74.png" /><Relationship Type="http://schemas.openxmlformats.org/officeDocument/2006/relationships/image" Id="rId90" Target="media/rId90.png" /><Relationship Type="http://schemas.openxmlformats.org/officeDocument/2006/relationships/image" Id="rId97" Target="media/rId97.png" /><Relationship Type="http://schemas.openxmlformats.org/officeDocument/2006/relationships/image" Id="rId108" Target="media/rId108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5" Target="media/rId125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4" Target="media/rId144.png" /><Relationship Type="http://schemas.openxmlformats.org/officeDocument/2006/relationships/image" Id="rId151" Target="media/rId151.png" /><Relationship Type="http://schemas.openxmlformats.org/officeDocument/2006/relationships/image" Id="rId156" Target="media/rId156.png" /><Relationship Type="http://schemas.openxmlformats.org/officeDocument/2006/relationships/image" Id="rId164" Target="media/rId164.png" /><Relationship Type="http://schemas.openxmlformats.org/officeDocument/2006/relationships/image" Id="rId171" Target="media/rId171.png" /><Relationship Type="http://schemas.openxmlformats.org/officeDocument/2006/relationships/image" Id="rId182" Target="media/rId182.png" /><Relationship Type="http://schemas.openxmlformats.org/officeDocument/2006/relationships/image" Id="rId196" Target="media/rId196.png" /><Relationship Type="http://schemas.openxmlformats.org/officeDocument/2006/relationships/image" Id="rId203" Target="media/rId203.png" /><Relationship Type="http://schemas.openxmlformats.org/officeDocument/2006/relationships/image" Id="rId210" Target="media/rId210.png" /><Relationship Type="http://schemas.openxmlformats.org/officeDocument/2006/relationships/image" Id="rId218" Target="media/rId218.png" /><Relationship Type="http://schemas.openxmlformats.org/officeDocument/2006/relationships/image" Id="rId225" Target="media/rId225.png" /><Relationship Type="http://schemas.openxmlformats.org/officeDocument/2006/relationships/image" Id="rId232" Target="media/rId232.png" /><Relationship Type="http://schemas.openxmlformats.org/officeDocument/2006/relationships/image" Id="rId243" Target="media/rId243.png" /><Relationship Type="http://schemas.openxmlformats.org/officeDocument/2006/relationships/image" Id="rId248" Target="media/rId248.png" /><Relationship Type="http://schemas.openxmlformats.org/officeDocument/2006/relationships/image" Id="rId262" Target="media/rId262.png" /><Relationship Type="http://schemas.openxmlformats.org/officeDocument/2006/relationships/image" Id="rId268" Target="media/rId268.png" /><Relationship Type="http://schemas.openxmlformats.org/officeDocument/2006/relationships/image" Id="rId273" Target="media/rId273.png" /><Relationship Type="http://schemas.openxmlformats.org/officeDocument/2006/relationships/image" Id="rId278" Target="media/rId278.png" /><Relationship Type="http://schemas.openxmlformats.org/officeDocument/2006/relationships/image" Id="rId283" Target="media/rId283.png" /><Relationship Type="http://schemas.openxmlformats.org/officeDocument/2006/relationships/image" Id="rId78" Target="media/rId78.png" /><Relationship Type="http://schemas.openxmlformats.org/officeDocument/2006/relationships/image" Id="rId24" Target="media/rId24.png" /><Relationship Type="http://schemas.openxmlformats.org/officeDocument/2006/relationships/image" Id="rId82" Target="media/rId82.png" /><Relationship Type="http://schemas.openxmlformats.org/officeDocument/2006/relationships/image" Id="rId20" Target="media/rId20.png" /><Relationship Type="http://schemas.openxmlformats.org/officeDocument/2006/relationships/hyperlink" Id="rId161" Target="https://en.wikipedia.org/wiki/Imaginary_number" TargetMode="External" /><Relationship Type="http://schemas.openxmlformats.org/officeDocument/2006/relationships/hyperlink" Id="rId281" Target="https://numbas.mathcentre.ac.uk/question/101423/differentiation-product-rule-6/embed/?token=95bdacf5-d008-407f-86b9-4605fa18c389" TargetMode="External" /><Relationship Type="http://schemas.openxmlformats.org/officeDocument/2006/relationships/hyperlink" Id="rId147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7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13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65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35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74" Target="https://numbas.mathcentre.ac.uk/question/64345/quadratics-using-the-quadratic-formula/embed/?token=df746faf-a094-4dd6-8e2b-19ae44306fc8" TargetMode="External" /><Relationship Type="http://schemas.openxmlformats.org/officeDocument/2006/relationships/hyperlink" Id="rId159" Target="https://numbas.mathcentre.ac.uk/question/64384/quadratics-factorisation-1/embed/?token=1e79515a-591e-457e-afe3-d82103bb02e9" TargetMode="External" /><Relationship Type="http://schemas.openxmlformats.org/officeDocument/2006/relationships/hyperlink" Id="rId199" Target="https://numbas.mathcentre.ac.uk/question/64712/indices-change-of-notation-3/embed/?token=246845ab-e1ea-4745-9106-5750be81ed2c" TargetMode="External" /><Relationship Type="http://schemas.openxmlformats.org/officeDocument/2006/relationships/hyperlink" Id="rId185" Target="https://numbas.mathcentre.ac.uk/question/65155/simultaneous-equations-quadratics-1/embed/?token=582d176f-c880-4353-abdf-8f51e0c575b6" TargetMode="External" /><Relationship Type="http://schemas.openxmlformats.org/officeDocument/2006/relationships/hyperlink" Id="rId286" Target="https://numbas.mathcentre.ac.uk/question/67315/differentiation-quotient-rule-4/embed/?token=bce25b63-b091-4e64-811d-5e064743c9d4" TargetMode="External" /><Relationship Type="http://schemas.openxmlformats.org/officeDocument/2006/relationships/hyperlink" Id="rId271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23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6" Target="https://numbas.mathcentre.ac.uk/question/91317/differentiation-chain-rule-3/embed/?token=0ac77949-e57a-40a4-9e69-200c7817cc9e" TargetMode="External" /><Relationship Type="http://schemas.openxmlformats.org/officeDocument/2006/relationships/hyperlink" Id="rId246" Target="https://numbas.mathcentre.ac.uk/question/98284/logarithms-simplifying-expressions-2/embed/?token=236a0071-445b-43bf-a8a9-9611b4dcb5ae" TargetMode="External" /><Relationship Type="http://schemas.openxmlformats.org/officeDocument/2006/relationships/hyperlink" Id="rId251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81" Target="https://www.desmos.com/calculator" TargetMode="External" /><Relationship Type="http://schemas.openxmlformats.org/officeDocument/2006/relationships/hyperlink" Id="rId135" Target="https://www.desmos.com/calculator/a3c9vcaede?embed" TargetMode="External" /><Relationship Type="http://schemas.openxmlformats.org/officeDocument/2006/relationships/hyperlink" Id="rId119" Target="https://www.desmos.com/calculator/jzyasdusre?embed" TargetMode="External" /><Relationship Type="http://schemas.openxmlformats.org/officeDocument/2006/relationships/hyperlink" Id="rId128" Target="https://www.desmos.com/calculator/llcrsdgmvo?embed" TargetMode="External" /><Relationship Type="http://schemas.openxmlformats.org/officeDocument/2006/relationships/hyperlink" Id="rId221" Target="https://www.desmos.com/calculator/u1nuc4eumz?embed" TargetMode="External" /><Relationship Type="http://schemas.openxmlformats.org/officeDocument/2006/relationships/hyperlink" Id="rId154" Target="https://www.desmos.com/calculator/ufd5zwqegu?embed" TargetMode="External" /><Relationship Type="http://schemas.openxmlformats.org/officeDocument/2006/relationships/hyperlink" Id="rId228" Target="https://www.desmos.com/calculator/uxvmkixg70?embed" TargetMode="External" /><Relationship Type="http://schemas.openxmlformats.org/officeDocument/2006/relationships/hyperlink" Id="rId206" Target="https://www.desmos.com/calculator/vufqtttmvw?embed" TargetMode="External" /><Relationship Type="http://schemas.openxmlformats.org/officeDocument/2006/relationships/hyperlink" Id="rId139" Target="https://www.desmos.com/calculator/z9r3fkyrcf?embed" TargetMode="External" /><Relationship Type="http://schemas.openxmlformats.org/officeDocument/2006/relationships/hyperlink" Id="rId217" Target="https://www.youtube.com/watch?v=sI1C9DyIi_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1" Target="https://en.wikipedia.org/wiki/Imaginary_number" TargetMode="External" /><Relationship Type="http://schemas.openxmlformats.org/officeDocument/2006/relationships/hyperlink" Id="rId281" Target="https://numbas.mathcentre.ac.uk/question/101423/differentiation-product-rule-6/embed/?token=95bdacf5-d008-407f-86b9-4605fa18c389" TargetMode="External" /><Relationship Type="http://schemas.openxmlformats.org/officeDocument/2006/relationships/hyperlink" Id="rId147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7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13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65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35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74" Target="https://numbas.mathcentre.ac.uk/question/64345/quadratics-using-the-quadratic-formula/embed/?token=df746faf-a094-4dd6-8e2b-19ae44306fc8" TargetMode="External" /><Relationship Type="http://schemas.openxmlformats.org/officeDocument/2006/relationships/hyperlink" Id="rId159" Target="https://numbas.mathcentre.ac.uk/question/64384/quadratics-factorisation-1/embed/?token=1e79515a-591e-457e-afe3-d82103bb02e9" TargetMode="External" /><Relationship Type="http://schemas.openxmlformats.org/officeDocument/2006/relationships/hyperlink" Id="rId199" Target="https://numbas.mathcentre.ac.uk/question/64712/indices-change-of-notation-3/embed/?token=246845ab-e1ea-4745-9106-5750be81ed2c" TargetMode="External" /><Relationship Type="http://schemas.openxmlformats.org/officeDocument/2006/relationships/hyperlink" Id="rId185" Target="https://numbas.mathcentre.ac.uk/question/65155/simultaneous-equations-quadratics-1/embed/?token=582d176f-c880-4353-abdf-8f51e0c575b6" TargetMode="External" /><Relationship Type="http://schemas.openxmlformats.org/officeDocument/2006/relationships/hyperlink" Id="rId286" Target="https://numbas.mathcentre.ac.uk/question/67315/differentiation-quotient-rule-4/embed/?token=bce25b63-b091-4e64-811d-5e064743c9d4" TargetMode="External" /><Relationship Type="http://schemas.openxmlformats.org/officeDocument/2006/relationships/hyperlink" Id="rId271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23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6" Target="https://numbas.mathcentre.ac.uk/question/91317/differentiation-chain-rule-3/embed/?token=0ac77949-e57a-40a4-9e69-200c7817cc9e" TargetMode="External" /><Relationship Type="http://schemas.openxmlformats.org/officeDocument/2006/relationships/hyperlink" Id="rId246" Target="https://numbas.mathcentre.ac.uk/question/98284/logarithms-simplifying-expressions-2/embed/?token=236a0071-445b-43bf-a8a9-9611b4dcb5ae" TargetMode="External" /><Relationship Type="http://schemas.openxmlformats.org/officeDocument/2006/relationships/hyperlink" Id="rId251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81" Target="https://www.desmos.com/calculator" TargetMode="External" /><Relationship Type="http://schemas.openxmlformats.org/officeDocument/2006/relationships/hyperlink" Id="rId135" Target="https://www.desmos.com/calculator/a3c9vcaede?embed" TargetMode="External" /><Relationship Type="http://schemas.openxmlformats.org/officeDocument/2006/relationships/hyperlink" Id="rId119" Target="https://www.desmos.com/calculator/jzyasdusre?embed" TargetMode="External" /><Relationship Type="http://schemas.openxmlformats.org/officeDocument/2006/relationships/hyperlink" Id="rId128" Target="https://www.desmos.com/calculator/llcrsdgmvo?embed" TargetMode="External" /><Relationship Type="http://schemas.openxmlformats.org/officeDocument/2006/relationships/hyperlink" Id="rId221" Target="https://www.desmos.com/calculator/u1nuc4eumz?embed" TargetMode="External" /><Relationship Type="http://schemas.openxmlformats.org/officeDocument/2006/relationships/hyperlink" Id="rId154" Target="https://www.desmos.com/calculator/ufd5zwqegu?embed" TargetMode="External" /><Relationship Type="http://schemas.openxmlformats.org/officeDocument/2006/relationships/hyperlink" Id="rId228" Target="https://www.desmos.com/calculator/uxvmkixg70?embed" TargetMode="External" /><Relationship Type="http://schemas.openxmlformats.org/officeDocument/2006/relationships/hyperlink" Id="rId206" Target="https://www.desmos.com/calculator/vufqtttmvw?embed" TargetMode="External" /><Relationship Type="http://schemas.openxmlformats.org/officeDocument/2006/relationships/hyperlink" Id="rId139" Target="https://www.desmos.com/calculator/z9r3fkyrcf?embed" TargetMode="External" /><Relationship Type="http://schemas.openxmlformats.org/officeDocument/2006/relationships/hyperlink" Id="rId217" Target="https://www.youtube.com/watch?v=sI1C9DyIi_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2022-09-20T17:35:13Z</dcterms:created>
  <dcterms:modified xsi:type="dcterms:W3CDTF">2022-09-20T17:35:13Z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