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ФИЛИАЛ АВТОНОМНОЙ ОРГАНИЗАЦИИ ОБРАЗОВАНИЯ «НАЗАРБАЕВ ИНТЕЛЛЕКТУАЛЬНЫЕ ШКОЛЫ»</w:t>
      </w:r>
    </w:p>
    <w:p>
      <w:pPr>
        <w:jc w:val="center"/>
      </w:pPr>
      <w:r>
        <w:rPr>
          <w:rFonts w:ascii="Times New Roman" w:hAnsi="Times New Roman"/>
          <w:b/>
          <w:sz w:val="28"/>
        </w:rPr>
        <w:t>НАЗАРБАЕВ ИНТЕЛЛЕКТУАЛЬНАЯ ШКОЛА ФИЗИКО-МАТЕМАТИЧЕСКОГО НАПРАВЛЕНИЯ г. ШЫМКЕНТ</w:t>
      </w:r>
    </w:p>
    <w:p/>
    <w:p>
      <w:pPr>
        <w:jc w:val="center"/>
      </w:pPr>
      <w:r>
        <w:rPr>
          <w:rFonts w:ascii="Times New Roman" w:hAnsi="Times New Roman"/>
          <w:b/>
          <w:sz w:val="28"/>
        </w:rPr>
        <w:t>НАУЧНО-ИССЛЕДОВАТЕЛЬСКИЙ ПРОЕКТ</w:t>
      </w:r>
    </w:p>
    <w:p/>
    <w:p>
      <w:pPr>
        <w:jc w:val="center"/>
      </w:pPr>
      <w:r>
        <w:rPr>
          <w:rFonts w:ascii="Times New Roman" w:hAnsi="Times New Roman"/>
          <w:b/>
          <w:sz w:val="32"/>
        </w:rPr>
        <w:t>VERTEX: АНАЛИТИКА ГРАФОВ И ПОТОКОВ ДЛЯ ВЫЯВЛЕНИЯ ФИНАНСОВОГО МОШЕННИЧЕСТВА</w:t>
      </w:r>
    </w:p>
    <w:p/>
    <w:p>
      <w:pPr>
        <w:jc w:val="center"/>
      </w:pPr>
      <w:r>
        <w:rPr>
          <w:rFonts w:ascii="Times New Roman" w:hAnsi="Times New Roman"/>
          <w:sz w:val="28"/>
        </w:rPr>
        <w:t>Направление: Математика и прикладные технологии</w:t>
      </w:r>
    </w:p>
    <w:p>
      <w:pPr>
        <w:jc w:val="center"/>
      </w:pPr>
      <w:r>
        <w:rPr>
          <w:rFonts w:ascii="Times New Roman" w:hAnsi="Times New Roman"/>
          <w:sz w:val="28"/>
        </w:rPr>
        <w:t>Секция: Информационные системы и технологии</w:t>
      </w:r>
    </w:p>
    <w:p/>
    <w:p>
      <w:pPr>
        <w:jc w:val="center"/>
      </w:pPr>
      <w:r>
        <w:rPr>
          <w:rFonts w:ascii="Times New Roman" w:hAnsi="Times New Roman"/>
          <w:sz w:val="28"/>
        </w:rPr>
        <w:t>Выполнил: Усипбаев Алибек, учащийся 12N класса</w:t>
      </w:r>
    </w:p>
    <w:p>
      <w:pPr>
        <w:jc w:val="center"/>
      </w:pPr>
      <w:r>
        <w:rPr>
          <w:rFonts w:ascii="Times New Roman" w:hAnsi="Times New Roman"/>
          <w:sz w:val="28"/>
        </w:rPr>
        <w:t>Научный руководитель: Орынбасаров Б.Н.</w:t>
      </w:r>
    </w:p>
    <w:p/>
    <w:p/>
    <w:p>
      <w:pPr>
        <w:jc w:val="center"/>
      </w:pPr>
      <w:r>
        <w:rPr>
          <w:rFonts w:ascii="Times New Roman" w:hAnsi="Times New Roman"/>
          <w:sz w:val="28"/>
        </w:rPr>
        <w:t>Шымкент, 2026</w:t>
      </w:r>
    </w:p>
    <w:p>
      <w:r>
        <w:br w:type="page"/>
      </w:r>
    </w:p>
    <w:p>
      <w:pPr>
        <w:pStyle w:val="Heading1"/>
        <w:keepNext/>
        <w:spacing w:before="240" w:after="200"/>
        <w:jc w:val="center"/>
      </w:pPr>
      <w:r>
        <w:rPr>
          <w:rFonts w:ascii="Times New Roman" w:hAnsi="Times New Roman"/>
          <w:b/>
          <w:sz w:val="30"/>
        </w:rPr>
        <w:t>АБСТРАКТ (АННОТАЦИЯ)</w:t>
      </w:r>
    </w:p>
    <w:p>
      <w:pPr>
        <w:pStyle w:val="Heading2"/>
        <w:keepNext/>
        <w:spacing w:before="240" w:after="200"/>
        <w:jc w:val="left"/>
      </w:pPr>
      <w:r>
        <w:rPr>
          <w:rFonts w:ascii="Times New Roman" w:hAnsi="Times New Roman"/>
          <w:b/>
          <w:sz w:val="28"/>
        </w:rPr>
        <w:t>Қазақ тілінде</w:t>
      </w:r>
    </w:p>
    <w:p>
      <w:pPr>
        <w:spacing w:after="120"/>
        <w:ind w:firstLine="709"/>
        <w:jc w:val="both"/>
      </w:pPr>
      <w:r>
        <w:rPr>
          <w:rFonts w:ascii="Times New Roman" w:hAnsi="Times New Roman"/>
          <w:b/>
          <w:sz w:val="28"/>
        </w:rPr>
        <w:t>Зерттеу мақсаты:</w:t>
      </w:r>
      <w:r>
        <w:rPr>
          <w:rFonts w:ascii="Times New Roman" w:hAnsi="Times New Roman"/>
          <w:b w:val="0"/>
          <w:sz w:val="28"/>
        </w:rPr>
        <w:t xml:space="preserve"> қаражат қозғалысының пішіні негізінде дропперлік желілер мен қаржылық пирамидаларды анықтауға арналған «Vertex» транзакциялық антифрод-жүйесін әзірлеу және оның нақты өлшенетін ортасын құру. </w:t>
      </w:r>
      <w:r>
        <w:rPr>
          <w:rFonts w:ascii="Times New Roman" w:hAnsi="Times New Roman"/>
          <w:b/>
          <w:sz w:val="28"/>
        </w:rPr>
        <w:t>Болжам:</w:t>
      </w:r>
      <w:r>
        <w:rPr>
          <w:rFonts w:ascii="Times New Roman" w:hAnsi="Times New Roman"/>
          <w:b w:val="0"/>
          <w:sz w:val="28"/>
        </w:rPr>
        <w:t xml:space="preserve"> алаяқтар жеке деректері мен құрылғыларын оңай өзгерте алады, бірақ қаражаттың сақталмай, бір шығу нүктесіне жиналатын транзиттік ағынының топологиялық құрылымы өзгермейді. </w:t>
      </w:r>
      <w:r>
        <w:rPr>
          <w:rFonts w:ascii="Times New Roman" w:hAnsi="Times New Roman"/>
          <w:b/>
          <w:sz w:val="28"/>
        </w:rPr>
        <w:t>Зерттеу кезеңдері:</w:t>
      </w:r>
      <w:r>
        <w:rPr>
          <w:rFonts w:ascii="Times New Roman" w:hAnsi="Times New Roman"/>
          <w:b w:val="0"/>
          <w:sz w:val="28"/>
        </w:rPr>
        <w:t xml:space="preserve"> қазақстандық типологияларды талдау; оқиғаларды генерациялайтын, бірақ жауаптарды бермейтін симулятор құру; W инвариантын әзірлеу; детекторды бес қиындық деңгейінде өлшеу. </w:t>
      </w:r>
      <w:r>
        <w:rPr>
          <w:rFonts w:ascii="Times New Roman" w:hAnsi="Times New Roman"/>
          <w:b/>
          <w:sz w:val="28"/>
        </w:rPr>
        <w:t>Әдістеме:</w:t>
      </w:r>
      <w:r>
        <w:rPr>
          <w:rFonts w:ascii="Times New Roman" w:hAnsi="Times New Roman"/>
          <w:b w:val="0"/>
          <w:sz w:val="28"/>
        </w:rPr>
        <w:t xml:space="preserve"> графтық талдау, FIFO-сәйкестендіру арқылы уақыттық инвариант, purged walk-forward валидациясы, шуыл еденіне қарсы белгілерді тексеру. </w:t>
      </w:r>
      <w:r>
        <w:rPr>
          <w:rFonts w:ascii="Times New Roman" w:hAnsi="Times New Roman"/>
          <w:b/>
          <w:sz w:val="28"/>
        </w:rPr>
        <w:t>Жаңалығы:</w:t>
      </w:r>
      <w:r>
        <w:rPr>
          <w:rFonts w:ascii="Times New Roman" w:hAnsi="Times New Roman"/>
          <w:b w:val="0"/>
          <w:sz w:val="28"/>
        </w:rPr>
        <w:t xml:space="preserve"> алаяқтық сирек кездескендегі детектордың нақты бағасы алғаш рет өлшенді және жасырыну бағасы қадаммен есептелді. </w:t>
      </w:r>
      <w:r>
        <w:rPr>
          <w:rFonts w:ascii="Times New Roman" w:hAnsi="Times New Roman"/>
          <w:b/>
          <w:sz w:val="28"/>
        </w:rPr>
        <w:t>Нәтижелер:</w:t>
      </w:r>
      <w:r>
        <w:rPr>
          <w:rFonts w:ascii="Times New Roman" w:hAnsi="Times New Roman"/>
          <w:b w:val="0"/>
          <w:sz w:val="28"/>
        </w:rPr>
        <w:t xml:space="preserve"> тізімнің жоғарғы 10 %-ы толығымен нақты дроптардан тұрады; алаяқтар үлесі 0.1 %-ға дейін азайғанда ROC-AUC 0.957-ден 0.894-ке ғана түседі, ал бір табысқа кететін тексеру саны 2-ден 160-қа өседі; топтық іздеу үшінші қаражат көзінде бұзылады. </w:t>
      </w:r>
      <w:r>
        <w:rPr>
          <w:rFonts w:ascii="Times New Roman" w:hAnsi="Times New Roman"/>
          <w:b/>
          <w:sz w:val="28"/>
        </w:rPr>
        <w:t>Қолданылу саласы:</w:t>
      </w:r>
      <w:r>
        <w:rPr>
          <w:rFonts w:ascii="Times New Roman" w:hAnsi="Times New Roman"/>
          <w:b w:val="0"/>
          <w:sz w:val="28"/>
        </w:rPr>
        <w:t xml:space="preserve"> ҚР екінші деңгейлі банктері және Ұлттық антифрод-орталығы.</w:t>
      </w:r>
    </w:p>
    <w:p>
      <w:pPr>
        <w:pStyle w:val="Heading2"/>
        <w:keepNext/>
        <w:spacing w:before="240" w:after="200"/>
        <w:jc w:val="left"/>
      </w:pPr>
      <w:r>
        <w:rPr>
          <w:rFonts w:ascii="Times New Roman" w:hAnsi="Times New Roman"/>
          <w:b/>
          <w:sz w:val="28"/>
        </w:rPr>
        <w:t>На русском языке</w:t>
      </w:r>
    </w:p>
    <w:p>
      <w:pPr>
        <w:spacing w:after="120"/>
        <w:ind w:firstLine="709"/>
        <w:jc w:val="both"/>
      </w:pPr>
      <w:r>
        <w:rPr>
          <w:rFonts w:ascii="Times New Roman" w:hAnsi="Times New Roman"/>
          <w:b/>
          <w:sz w:val="28"/>
        </w:rPr>
        <w:t>Цель исследования:</w:t>
      </w:r>
      <w:r>
        <w:rPr>
          <w:rFonts w:ascii="Times New Roman" w:hAnsi="Times New Roman"/>
          <w:b w:val="0"/>
          <w:sz w:val="28"/>
        </w:rPr>
        <w:t xml:space="preserve"> разработать транзакционную антифрод-систему «Vertex» для выявления дропперских сетей и финансовых пирамид по форме движения денежных средств и построить среду, в которой качество такого обнаружения можно измерить. </w:t>
      </w:r>
      <w:r>
        <w:rPr>
          <w:rFonts w:ascii="Times New Roman" w:hAnsi="Times New Roman"/>
          <w:b/>
          <w:sz w:val="28"/>
        </w:rPr>
        <w:t>Гипотеза:</w:t>
      </w:r>
      <w:r>
        <w:rPr>
          <w:rFonts w:ascii="Times New Roman" w:hAnsi="Times New Roman"/>
          <w:b w:val="0"/>
          <w:sz w:val="28"/>
        </w:rPr>
        <w:t xml:space="preserve"> личность мошенника и его устройства мгновенно рандомизируются, однако топологическая структура транзитного потока без удержания средств, сходящегося в единой точке вывода, остаётся инвариантной, что позволяет обнаруживать схемы без обращения к чёрным спискам. </w:t>
      </w:r>
      <w:r>
        <w:rPr>
          <w:rFonts w:ascii="Times New Roman" w:hAnsi="Times New Roman"/>
          <w:b/>
          <w:sz w:val="28"/>
        </w:rPr>
        <w:t>Этапы исследования:</w:t>
      </w:r>
      <w:r>
        <w:rPr>
          <w:rFonts w:ascii="Times New Roman" w:hAnsi="Times New Roman"/>
          <w:b w:val="0"/>
          <w:sz w:val="28"/>
        </w:rPr>
        <w:t xml:space="preserve"> анализ локальных типологий; построение симулятора, порождающего события, но не признаки; разработка временного инварианта W; измерение детектора на пяти уровнях сложности мира; оценка при реальной редкости мошенничества. </w:t>
      </w:r>
      <w:r>
        <w:rPr>
          <w:rFonts w:ascii="Times New Roman" w:hAnsi="Times New Roman"/>
          <w:b/>
          <w:sz w:val="28"/>
        </w:rPr>
        <w:t>Методика:</w:t>
      </w:r>
      <w:r>
        <w:rPr>
          <w:rFonts w:ascii="Times New Roman" w:hAnsi="Times New Roman"/>
          <w:b w:val="0"/>
          <w:sz w:val="28"/>
        </w:rPr>
        <w:t xml:space="preserve"> графовый анализ, сопоставление денежных посылок по принципу FIFO, кросс-валидация purged walk-forward, проверка признаков против перемешанного контроля. </w:t>
      </w:r>
      <w:r>
        <w:rPr>
          <w:rFonts w:ascii="Times New Roman" w:hAnsi="Times New Roman"/>
          <w:b/>
          <w:sz w:val="28"/>
        </w:rPr>
        <w:t>Новизна и самостоятельность:</w:t>
      </w:r>
      <w:r>
        <w:rPr>
          <w:rFonts w:ascii="Times New Roman" w:hAnsi="Times New Roman"/>
          <w:b w:val="0"/>
          <w:sz w:val="28"/>
        </w:rPr>
        <w:t xml:space="preserve"> впервые измерена цена уклонения по шагам и стоимость детектирования при доле мошенников до 0.1 %; работа выполнена одним учащимся. </w:t>
      </w:r>
      <w:r>
        <w:rPr>
          <w:rFonts w:ascii="Times New Roman" w:hAnsi="Times New Roman"/>
          <w:b/>
          <w:sz w:val="28"/>
        </w:rPr>
        <w:t>Результаты:</w:t>
      </w:r>
      <w:r>
        <w:rPr>
          <w:rFonts w:ascii="Times New Roman" w:hAnsi="Times New Roman"/>
          <w:b w:val="0"/>
          <w:sz w:val="28"/>
        </w:rPr>
        <w:t xml:space="preserve"> верхние 10 % ранжированного списка полностью состоят из настоящих дропперов; при падении доли мошенников с 6.9 % до 0.1 % ROC-AUC снижается лишь с 0.957 до 0.894, тогда как число проверок на одну находку растёт с 2 до 160; групповой поиск разрушается при трёх независимых источниках финансирования. </w:t>
      </w:r>
      <w:r>
        <w:rPr>
          <w:rFonts w:ascii="Times New Roman" w:hAnsi="Times New Roman"/>
          <w:b/>
          <w:sz w:val="28"/>
        </w:rPr>
        <w:t>Область применения:</w:t>
      </w:r>
      <w:r>
        <w:rPr>
          <w:rFonts w:ascii="Times New Roman" w:hAnsi="Times New Roman"/>
          <w:b w:val="0"/>
          <w:sz w:val="28"/>
        </w:rPr>
        <w:t xml:space="preserve"> банки второго уровня Республики Казахстан и Национальный антифрод-центр.</w:t>
      </w:r>
    </w:p>
    <w:p>
      <w:pPr>
        <w:pStyle w:val="Heading2"/>
        <w:keepNext/>
        <w:spacing w:before="240" w:after="200"/>
        <w:jc w:val="left"/>
      </w:pPr>
      <w:r>
        <w:rPr>
          <w:rFonts w:ascii="Times New Roman" w:hAnsi="Times New Roman"/>
          <w:b/>
          <w:sz w:val="28"/>
        </w:rPr>
        <w:t>In English</w:t>
      </w:r>
    </w:p>
    <w:p>
      <w:pPr>
        <w:spacing w:after="120"/>
        <w:ind w:firstLine="709"/>
        <w:jc w:val="both"/>
      </w:pPr>
      <w:r>
        <w:rPr>
          <w:rFonts w:ascii="Times New Roman" w:hAnsi="Times New Roman"/>
          <w:b/>
          <w:sz w:val="28"/>
        </w:rPr>
        <w:t>Objective:</w:t>
      </w:r>
      <w:r>
        <w:rPr>
          <w:rFonts w:ascii="Times New Roman" w:hAnsi="Times New Roman"/>
          <w:b w:val="0"/>
          <w:sz w:val="28"/>
        </w:rPr>
        <w:t xml:space="preserve"> to develop the Vertex transactional anti-fraud system for detecting money-mule networks and financial pyramids from the shape of fund movement, and to build an environment in which the quality of such detection can be measured. </w:t>
      </w:r>
      <w:r>
        <w:rPr>
          <w:rFonts w:ascii="Times New Roman" w:hAnsi="Times New Roman"/>
          <w:b/>
          <w:sz w:val="28"/>
        </w:rPr>
        <w:t>Hypothesis:</w:t>
      </w:r>
      <w:r>
        <w:rPr>
          <w:rFonts w:ascii="Times New Roman" w:hAnsi="Times New Roman"/>
          <w:b w:val="0"/>
          <w:sz w:val="28"/>
        </w:rPr>
        <w:t xml:space="preserve"> fraudsters randomise identities and devices instantly, but the topology of pass-through transit without retention, converging on a single exit point, remains invariant and enables detection without blacklists. </w:t>
      </w:r>
      <w:r>
        <w:rPr>
          <w:rFonts w:ascii="Times New Roman" w:hAnsi="Times New Roman"/>
          <w:b/>
          <w:sz w:val="28"/>
        </w:rPr>
        <w:t>Stages:</w:t>
      </w:r>
      <w:r>
        <w:rPr>
          <w:rFonts w:ascii="Times New Roman" w:hAnsi="Times New Roman"/>
          <w:b w:val="0"/>
          <w:sz w:val="28"/>
        </w:rPr>
        <w:t xml:space="preserve"> analysis of local typologies; construction of a simulator that emits events but never features; design of the temporal invariant W; measurement of the detector across five levels of world difficulty; evaluation under realistic fraud rarity. </w:t>
      </w:r>
      <w:r>
        <w:rPr>
          <w:rFonts w:ascii="Times New Roman" w:hAnsi="Times New Roman"/>
          <w:b/>
          <w:sz w:val="28"/>
        </w:rPr>
        <w:t>Methodology:</w:t>
      </w:r>
      <w:r>
        <w:rPr>
          <w:rFonts w:ascii="Times New Roman" w:hAnsi="Times New Roman"/>
          <w:b w:val="0"/>
          <w:sz w:val="28"/>
        </w:rPr>
        <w:t xml:space="preserve"> graph analysis, FIFO matching of money parcels, purged walk-forward validation, feature screening against a shuffled control. </w:t>
      </w:r>
      <w:r>
        <w:rPr>
          <w:rFonts w:ascii="Times New Roman" w:hAnsi="Times New Roman"/>
          <w:b/>
          <w:sz w:val="28"/>
        </w:rPr>
        <w:t>Novelty and independence:</w:t>
      </w:r>
      <w:r>
        <w:rPr>
          <w:rFonts w:ascii="Times New Roman" w:hAnsi="Times New Roman"/>
          <w:b w:val="0"/>
          <w:sz w:val="28"/>
        </w:rPr>
        <w:t xml:space="preserve"> the price of evasion is measured step by step and the cost of detection is quantified down to a 0.1 % fraud rate — both measured here for the first time; the work was carried out by a single school student. </w:t>
      </w:r>
      <w:r>
        <w:rPr>
          <w:rFonts w:ascii="Times New Roman" w:hAnsi="Times New Roman"/>
          <w:b/>
          <w:sz w:val="28"/>
        </w:rPr>
        <w:t>Results:</w:t>
      </w:r>
      <w:r>
        <w:rPr>
          <w:rFonts w:ascii="Times New Roman" w:hAnsi="Times New Roman"/>
          <w:b w:val="0"/>
          <w:sz w:val="28"/>
        </w:rPr>
        <w:t xml:space="preserve"> the top 10 % of the ranked queue consists entirely of true mules; as the fraud share falls from 6.9 % to 0.1 %, ROC-AUC declines only from 0.957 to 0.894, while reviews per catch rise from 2 to 160; network-level discovery collapses at three independent funding sources. </w:t>
      </w:r>
      <w:r>
        <w:rPr>
          <w:rFonts w:ascii="Times New Roman" w:hAnsi="Times New Roman"/>
          <w:b/>
          <w:sz w:val="28"/>
        </w:rPr>
        <w:t>Application:</w:t>
      </w:r>
      <w:r>
        <w:rPr>
          <w:rFonts w:ascii="Times New Roman" w:hAnsi="Times New Roman"/>
          <w:b w:val="0"/>
          <w:sz w:val="28"/>
        </w:rPr>
        <w:t xml:space="preserve"> second-tier banks of Kazakhstan and the National Anti-Fraud Centre.</w:t>
      </w:r>
    </w:p>
    <w:p>
      <w:r>
        <w:br w:type="page"/>
      </w:r>
    </w:p>
    <w:p>
      <w:pPr>
        <w:pStyle w:val="Heading1"/>
        <w:keepNext/>
        <w:spacing w:before="240" w:after="200"/>
        <w:jc w:val="center"/>
      </w:pPr>
      <w:r>
        <w:rPr>
          <w:rFonts w:ascii="Times New Roman" w:hAnsi="Times New Roman"/>
          <w:b/>
          <w:sz w:val="30"/>
        </w:rPr>
        <w:t>ОГЛАВЛЕНИЕ</w:t>
      </w:r>
    </w:p>
    <w:p>
      <w:r>
        <w:fldChar w:fldCharType="begin"/>
        <w:instrText xml:space="preserve">TOC \o "1-2" \h \z \u</w:instrText>
        <w:fldChar w:fldCharType="separate"/>
        <w:t>Оглавление обновляется в Word: правая кнопка → «Обновить поле».</w:t>
        <w:fldChar w:fldCharType="end"/>
      </w:r>
    </w:p>
    <w:p>
      <w:r>
        <w:br w:type="page"/>
      </w:r>
    </w:p>
    <w:p>
      <w:pPr>
        <w:pStyle w:val="Heading1"/>
        <w:keepNext/>
        <w:spacing w:before="240" w:after="200"/>
        <w:jc w:val="center"/>
      </w:pPr>
      <w:r>
        <w:rPr>
          <w:rFonts w:ascii="Times New Roman" w:hAnsi="Times New Roman"/>
          <w:b/>
          <w:sz w:val="30"/>
        </w:rPr>
        <w:t>ВВЕДЕНИЕ</w:t>
      </w:r>
    </w:p>
    <w:p>
      <w:pPr>
        <w:spacing w:after="120"/>
        <w:ind w:firstLine="709"/>
        <w:jc w:val="both"/>
      </w:pPr>
      <w:r>
        <w:rPr>
          <w:rFonts w:ascii="Times New Roman" w:hAnsi="Times New Roman"/>
          <w:b w:val="0"/>
          <w:sz w:val="28"/>
        </w:rPr>
        <w:t>Современный этап развития финансового сектора Республики Казахстан характеризуется беспрецедентными темпами цифровизации финансовых услуг. Развёртывание Национальной цифровой финансовой инфраструктуры обеспечило мгновенное проведение межбанковских расчётов и доступ к банковским продуктам для широких слоёв населения. Однако стремительное развитие цифрового банкинга создало условия для качественной эволюции финансовых преступлений. Традиционные мошеннические схемы уступили место распределённым преступным сетям, специализирующимся на создании цифровых финансовых пирамид и скоординированном транзите денежных средств через подставные счета дропперов (денежных мулов).</w:t>
      </w:r>
    </w:p>
    <w:p>
      <w:pPr>
        <w:spacing w:after="120"/>
        <w:ind w:firstLine="709"/>
        <w:jc w:val="both"/>
      </w:pPr>
      <w:r>
        <w:rPr>
          <w:rFonts w:ascii="Times New Roman" w:hAnsi="Times New Roman"/>
          <w:b w:val="0"/>
          <w:sz w:val="28"/>
        </w:rPr>
        <w:t>Масштаб проблемы для национальной безопасности значителен. По данным Агентства по финансовому мониторингу Республики Казахстан, только за первую половину 2025 года в стране было ликвидировано 36 крупных финансовых пирамид, вовлёкших свыше 86 тысяч граждан [14]. За тот же период заблокировано более 14,6 тысяч интернет-ресурсов, продвигающих мошеннические инвестиционные проекты. Ситуация осложняется ростом телефонного и интернет-мошенничества, где главным звеном вывода похищенных средств выступают дропперские сети.</w:t>
      </w:r>
    </w:p>
    <w:p>
      <w:pPr>
        <w:spacing w:after="120"/>
        <w:ind w:firstLine="709"/>
        <w:jc w:val="both"/>
      </w:pPr>
      <w:r>
        <w:rPr>
          <w:rFonts w:ascii="Times New Roman" w:hAnsi="Times New Roman"/>
          <w:b w:val="0"/>
          <w:sz w:val="28"/>
        </w:rPr>
        <w:t>Для системной борьбы с транзакционным фродом под эгидой Национальной платёжной корпорации Национального Банка Республики Казахстан был запущен Национальный антифрод-центр [3]. Центр объединил в единую информационную цепь более 200 участников, включая банки второго уровня, микрофинансовые организации, операторов связи и правоохранительные структуры, что позволило предотвратить вывод мошеннических средств на сумму свыше 117 миллиардов тенге. Законодательные поправки 2025 года ввели прямую ответственность за передачу банковских карт третьим лицам и продлили срок законной блокировки сомнительных платежей с трёх до пяти рабочих дней [2].</w:t>
      </w:r>
    </w:p>
    <w:p>
      <w:pPr>
        <w:spacing w:after="120"/>
        <w:ind w:firstLine="709"/>
        <w:jc w:val="both"/>
      </w:pPr>
      <w:r>
        <w:rPr>
          <w:rFonts w:ascii="Times New Roman" w:hAnsi="Times New Roman"/>
          <w:b w:val="0"/>
          <w:sz w:val="28"/>
        </w:rPr>
        <w:t>Однако действующие механизмы выявления дропперских счетов остаются реактивными. Критерии, по которым банки идентифицируют дропперов сегодня, сфокусированы преимущественно на атрибутах личности и устройств: принадлежность получателя к спискам антифрод-центра, совпадение IP-адресов, использование одинаковых номеров телефонов, отклонение от типового поведенческого профиля клиента [1]. Эти параметры обходятся профессиональными преступниками: новые счета оформляются на социально уязвимых граждан, не состоящих ни в каких базах, а виртуальные устройства и SIM-карты меняются автоматически за считанные минуты.</w:t>
      </w:r>
    </w:p>
    <w:p>
      <w:pPr>
        <w:spacing w:after="120"/>
        <w:ind w:firstLine="709"/>
        <w:jc w:val="both"/>
      </w:pPr>
      <w:r>
        <w:rPr>
          <w:rFonts w:ascii="Times New Roman" w:hAnsi="Times New Roman"/>
          <w:b w:val="0"/>
          <w:sz w:val="28"/>
        </w:rPr>
        <w:t xml:space="preserve">Существует и вторая, менее заметная проблема, которая и определила методологию настоящей работы. Публикуемые в этой области результаты, как правило, невозможно проверить: промышленные антифрод-системы закрыты, а академические работы используют собственные размеченные наборы данных, для которых неизвестно, насколько трудной была задача. Заявление «наша модель показывает ROC-AUC 0,99» само по себе не несёт информации, если неизвестно, какова доля мошенников в выборке, как именно разделены обучение и тест и какая часть мошенников в принципе доступна для обнаружения выбранным объектом анализа. Настоящая работа исходит из того, что </w:t>
      </w:r>
      <w:r>
        <w:rPr>
          <w:rFonts w:ascii="Times New Roman" w:hAnsi="Times New Roman"/>
          <w:b/>
          <w:sz w:val="28"/>
        </w:rPr>
        <w:t>измерительная среда является таким же научным результатом, как и сам детектор</w:t>
      </w:r>
      <w:r>
        <w:rPr>
          <w:rFonts w:ascii="Times New Roman" w:hAnsi="Times New Roman"/>
          <w:b w:val="0"/>
          <w:sz w:val="28"/>
        </w:rPr>
        <w:t>.</w:t>
      </w:r>
    </w:p>
    <w:p>
      <w:pPr>
        <w:spacing w:after="120"/>
        <w:ind w:firstLine="709"/>
        <w:jc w:val="both"/>
      </w:pPr>
      <w:r>
        <w:rPr>
          <w:rFonts w:ascii="Times New Roman" w:hAnsi="Times New Roman"/>
          <w:b w:val="0"/>
          <w:sz w:val="28"/>
        </w:rPr>
        <w:t>Научная гипотеза исследования: личность мошенника и его цифровые устройства могут быть мгновенно рандомизированы, однако структура транзитного движения денежного потока — без накопления и удержания, со схождением в единой конечной точке вывода — является топологическим инвариантом, который невозможно изменить, оставаясь в рамках мошеннической схемы. Это позволяет отказаться от верификации по базам данных личности в пользу структурного анализа графа транзакций.</w:t>
      </w:r>
    </w:p>
    <w:p>
      <w:pPr>
        <w:spacing w:after="120"/>
        <w:ind w:firstLine="709"/>
        <w:jc w:val="both"/>
      </w:pPr>
      <w:r>
        <w:rPr>
          <w:rFonts w:ascii="Times New Roman" w:hAnsi="Times New Roman"/>
          <w:b w:val="0"/>
          <w:sz w:val="28"/>
        </w:rPr>
        <w:t>Цель исследования: разработать систему сетевой аналитики «Vertex», выявляющую дропперские цепочки и финансовые пирамиды на ранних стадиях без обращения к чёрным спискам, и построить контролируемую среду, в которой качество такого выявления поддаётся строгому измерению.</w:t>
      </w:r>
    </w:p>
    <w:p>
      <w:pPr>
        <w:spacing w:after="120"/>
        <w:ind w:firstLine="709"/>
        <w:jc w:val="both"/>
      </w:pPr>
      <w:r>
        <w:rPr>
          <w:rFonts w:ascii="Times New Roman" w:hAnsi="Times New Roman"/>
          <w:b w:val="0"/>
          <w:sz w:val="28"/>
        </w:rPr>
        <w:t>Задачи исследования:</w:t>
      </w:r>
    </w:p>
    <w:p>
      <w:pPr>
        <w:spacing w:after="120"/>
        <w:ind w:left="567"/>
        <w:jc w:val="both"/>
      </w:pPr>
      <w:r>
        <w:rPr>
          <w:rFonts w:ascii="Times New Roman" w:hAnsi="Times New Roman"/>
          <w:b w:val="0"/>
          <w:sz w:val="28"/>
        </w:rPr>
        <w:t>1. Провести анализ ограничений существующих систем транзакционного мониторинга и мировых аналогов.</w:t>
      </w:r>
    </w:p>
    <w:p>
      <w:pPr>
        <w:spacing w:after="120"/>
        <w:ind w:left="567"/>
        <w:jc w:val="both"/>
      </w:pPr>
      <w:r>
        <w:rPr>
          <w:rFonts w:ascii="Times New Roman" w:hAnsi="Times New Roman"/>
          <w:b w:val="0"/>
          <w:sz w:val="28"/>
        </w:rPr>
        <w:t>2. Формализовать граф финансовых транзакций и выделить структурные подписи локальных типологий мошенничества.</w:t>
      </w:r>
    </w:p>
    <w:p>
      <w:pPr>
        <w:spacing w:after="120"/>
        <w:ind w:left="567"/>
        <w:jc w:val="both"/>
      </w:pPr>
      <w:r>
        <w:rPr>
          <w:rFonts w:ascii="Times New Roman" w:hAnsi="Times New Roman"/>
          <w:b w:val="0"/>
          <w:sz w:val="28"/>
        </w:rPr>
        <w:t>3. Создать математический инвариант (параметр W), описывающий общую природу медленных пирамид и быстрых дроп-сетей.</w:t>
      </w:r>
    </w:p>
    <w:p>
      <w:pPr>
        <w:spacing w:after="120"/>
        <w:ind w:left="567"/>
        <w:jc w:val="both"/>
      </w:pPr>
      <w:r>
        <w:rPr>
          <w:rFonts w:ascii="Times New Roman" w:hAnsi="Times New Roman"/>
          <w:b w:val="0"/>
          <w:sz w:val="28"/>
        </w:rPr>
        <w:t>4. Спроектировать механизм разрешения сущностей (Entity Resolution) для связывания разрозненных идентификаторов.</w:t>
      </w:r>
    </w:p>
    <w:p>
      <w:pPr>
        <w:spacing w:after="120"/>
        <w:ind w:left="567"/>
        <w:jc w:val="both"/>
      </w:pPr>
      <w:r>
        <w:rPr>
          <w:rFonts w:ascii="Times New Roman" w:hAnsi="Times New Roman"/>
          <w:b w:val="0"/>
          <w:sz w:val="28"/>
        </w:rPr>
        <w:t>5. Построить симулятор финансового мира, порождающий события, но не признаки, и содержащий трудные честные популяции.</w:t>
      </w:r>
    </w:p>
    <w:p>
      <w:pPr>
        <w:spacing w:after="120"/>
        <w:ind w:left="567"/>
        <w:jc w:val="both"/>
      </w:pPr>
      <w:r>
        <w:rPr>
          <w:rFonts w:ascii="Times New Roman" w:hAnsi="Times New Roman"/>
          <w:b w:val="0"/>
          <w:sz w:val="28"/>
        </w:rPr>
        <w:t>6. Реализовать ансамблевую архитектуру классификации и методологию честной кросс-валидации.</w:t>
      </w:r>
    </w:p>
    <w:p>
      <w:pPr>
        <w:spacing w:after="120"/>
        <w:ind w:left="567"/>
        <w:jc w:val="both"/>
      </w:pPr>
      <w:r>
        <w:rPr>
          <w:rFonts w:ascii="Times New Roman" w:hAnsi="Times New Roman"/>
          <w:b w:val="0"/>
          <w:sz w:val="28"/>
        </w:rPr>
        <w:t>7. Измерить качество детектора на объявленной заранее лестнице из пяти миров нарастающей сложности, при реальной редкости мошенничества и под действием уклонения.</w:t>
      </w:r>
    </w:p>
    <w:p>
      <w:pPr>
        <w:spacing w:after="120"/>
        <w:ind w:firstLine="709"/>
        <w:jc w:val="both"/>
      </w:pPr>
      <w:r>
        <w:rPr>
          <w:rFonts w:ascii="Times New Roman" w:hAnsi="Times New Roman"/>
          <w:b w:val="0"/>
          <w:sz w:val="28"/>
        </w:rPr>
        <w:t>Методологическая новизна работы состоит в том, что все заявляемые числа воспроизводимы одной командой из репозитория проекта, а каждый результат сопровождается указанием того, что именно он не доказывает. Такой формат отчётности принят сознательно: в ходе работы пятикратно обнаруживалось, что высокие показатели качества были следствием дефектов измерения, а не свойств метода (раздел 3.5).</w:t>
      </w:r>
    </w:p>
    <w:p>
      <w:r>
        <w:br w:type="page"/>
      </w:r>
    </w:p>
    <w:p>
      <w:pPr>
        <w:pStyle w:val="Heading1"/>
        <w:keepNext/>
        <w:spacing w:before="240" w:after="200"/>
        <w:jc w:val="center"/>
      </w:pPr>
      <w:r>
        <w:rPr>
          <w:rFonts w:ascii="Times New Roman" w:hAnsi="Times New Roman"/>
          <w:b/>
          <w:sz w:val="30"/>
        </w:rPr>
        <w:t>1. ТЕОРЕТИКО-МЕТОДОЛОГИЧЕСКИЕ ОСНОВЫ СЕТЕВОГО АНТИФРОДА</w:t>
      </w:r>
    </w:p>
    <w:p>
      <w:pPr>
        <w:pStyle w:val="Heading2"/>
        <w:keepNext/>
        <w:spacing w:before="240" w:after="200"/>
        <w:jc w:val="left"/>
      </w:pPr>
      <w:r>
        <w:rPr>
          <w:rFonts w:ascii="Times New Roman" w:hAnsi="Times New Roman"/>
          <w:b/>
          <w:sz w:val="28"/>
        </w:rPr>
        <w:t>1.1 Ограничения традиционных систем противодействия мошенничеству</w:t>
      </w:r>
    </w:p>
    <w:p>
      <w:pPr>
        <w:spacing w:after="120"/>
        <w:ind w:firstLine="709"/>
        <w:jc w:val="both"/>
      </w:pPr>
      <w:r>
        <w:rPr>
          <w:rFonts w:ascii="Times New Roman" w:hAnsi="Times New Roman"/>
          <w:b w:val="0"/>
          <w:sz w:val="28"/>
        </w:rPr>
        <w:t>Традиционные системы противодействия мошенничеству в банковском секторе (rule-based anti-fraud) строятся на анализе изолированных событий. При обработке входящего транзакционного запроса система сверяет его параметры с набором статических экспертных правил. Ключевыми факторами принятия решений выступают атрибуты транзакции и характеристики клиентского профиля: если сумма перевода превышает лимит, если транзакция совершается с устройства в новой географической точке или если получатель числится в реестрах подозрительных счетов, операция блокируется либо направляется на ручную верификацию.</w:t>
      </w:r>
    </w:p>
    <w:p>
      <w:pPr>
        <w:spacing w:after="120"/>
        <w:ind w:firstLine="709"/>
        <w:jc w:val="both"/>
      </w:pPr>
      <w:r>
        <w:rPr>
          <w:rFonts w:ascii="Times New Roman" w:hAnsi="Times New Roman"/>
          <w:b w:val="0"/>
          <w:sz w:val="28"/>
        </w:rPr>
        <w:t>Основным недостатком такого подхода является слепота перед скоординированными групповыми атаками. В современных схемах злоумышленники не используют скомпрометированные счета: они выстраивают динамические цепочки транзита, задействуя сотни «чистых» карт реальных людей. Каждый индивидуальный перевод выглядит легитимно — он не превышает лимиты, совершается с доверенного устройства владельца карты и направляется получателю, не состоящему в чёрных списках. В результате мониторинг пропускает транзакцию за транзакцией, фиксируя хищение только в точке обналичивания, когда средства уже выведены из финансовой системы.</w:t>
      </w:r>
    </w:p>
    <w:p>
      <w:pPr>
        <w:spacing w:after="120"/>
        <w:ind w:firstLine="709"/>
        <w:jc w:val="both"/>
      </w:pPr>
      <w:r>
        <w:rPr>
          <w:rFonts w:ascii="Times New Roman" w:hAnsi="Times New Roman"/>
          <w:b w:val="0"/>
          <w:sz w:val="28"/>
        </w:rPr>
        <w:t xml:space="preserve">Попытка решить проблему расширением чёрных списков ведёт к росту ложноположительных срабатываний. По оценкам международных экспертов, доля ложных тревог в традиционных банковских системах мониторинга превышает 90 % [11]. Это создаёт операционную нагрузку на комплаенс-службы: аналитики вручную разбирают тысячи ложных предупреждений, тогда как латентные паттерны организованной преступности остаются незамеченными. Настоящая работа показывает (раздел 3.4), что при реальной редкости мошенничества эта нагрузка определяется не столько качеством модели, сколько </w:t>
      </w:r>
      <w:r>
        <w:rPr>
          <w:rFonts w:ascii="Times New Roman" w:hAnsi="Times New Roman"/>
          <w:b/>
          <w:sz w:val="28"/>
        </w:rPr>
        <w:t>выбранной политикой отбора дел на проверку</w:t>
      </w:r>
      <w:r>
        <w:rPr>
          <w:rFonts w:ascii="Times New Roman" w:hAnsi="Times New Roman"/>
          <w:b w:val="0"/>
          <w:sz w:val="28"/>
        </w:rPr>
        <w:t xml:space="preserve"> — и что смена политики даёт больший выигрыш, чем усложнение модели.</w:t>
      </w:r>
    </w:p>
    <w:p>
      <w:pPr>
        <w:pStyle w:val="Heading2"/>
        <w:keepNext/>
        <w:spacing w:before="240" w:after="200"/>
        <w:jc w:val="left"/>
      </w:pPr>
      <w:r>
        <w:rPr>
          <w:rFonts w:ascii="Times New Roman" w:hAnsi="Times New Roman"/>
          <w:b/>
          <w:sz w:val="28"/>
        </w:rPr>
        <w:t>1.2 Мировой опыт и концепция FRAML в межбанковском пространстве</w:t>
      </w:r>
    </w:p>
    <w:p>
      <w:pPr>
        <w:spacing w:after="120"/>
        <w:ind w:firstLine="709"/>
        <w:jc w:val="both"/>
      </w:pPr>
      <w:r>
        <w:rPr>
          <w:rFonts w:ascii="Times New Roman" w:hAnsi="Times New Roman"/>
          <w:b w:val="0"/>
          <w:sz w:val="28"/>
        </w:rPr>
        <w:t>Для преодоления барьеров изолированного анализа в международной практике развивается концепция FRAML (Fraud and Anti-Money Laundering) — сближение систем борьбы с мошенничеством и противодействия легализации доходов. FRAML предполагает переход от транзакционного скоринга к анализу сетевых связей и формированию сквозного профиля клиента. Ведущие мировые платформы сетевой аналитики строят решения на анализе графов связей [7].</w:t>
      </w:r>
    </w:p>
    <w:p>
      <w:pPr>
        <w:spacing w:after="120"/>
        <w:ind w:firstLine="709"/>
        <w:jc w:val="both"/>
      </w:pPr>
      <w:r>
        <w:rPr>
          <w:rFonts w:ascii="Times New Roman" w:hAnsi="Times New Roman"/>
          <w:b w:val="0"/>
          <w:sz w:val="28"/>
        </w:rPr>
        <w:t>Особое значение имеет опыт Нидерландов, где пять крупнейших банков основали межбанковский консорциум мониторинга транзакций. Основной вызов состоял в том, что преступники никогда не проводят всю схему через один банк: деньги заходят в банк А, дробятся и переводятся в банки Б и В, а затем сходятся в банке Г, и ни один из банков по отдельности не видит картины целиком. Консорциум решил эту проблему агрегацией деперсонализированных данных в единый временной граф транзакций, что позволило выявлять транзитные цепочки без удержания активов на общегосударственном уровне [5].</w:t>
      </w:r>
    </w:p>
    <w:p>
      <w:pPr>
        <w:spacing w:after="120"/>
        <w:ind w:firstLine="709"/>
        <w:jc w:val="both"/>
      </w:pPr>
      <w:r>
        <w:rPr>
          <w:rFonts w:ascii="Times New Roman" w:hAnsi="Times New Roman"/>
          <w:b w:val="0"/>
          <w:sz w:val="28"/>
        </w:rPr>
        <w:t>На практике создание единого репозитория межбанковских транзакций ограничено требованиями законодательства о банковской тайне [13]. В архитектуре «Vertex» этот барьер преодолевается двумя путями: модели развёртываются внутри защищённого периметра Национального антифрод-центра, наделённого полномочиями агрегации межбанковских инцидентов [1]; для построения распределённого графа предполагается федеративное обучение, при котором банки-участники обмениваются градиентами локальных моделей, сохраняя сырые данные клиентов внутри своих контуров. Второй механизм на текущем этапе является проектным решением, а не реализованной подсистемой, и вынесен в рекомендации заключения.</w:t>
      </w:r>
    </w:p>
    <w:p>
      <w:pPr>
        <w:spacing w:after="120"/>
        <w:ind w:firstLine="709"/>
        <w:jc w:val="both"/>
      </w:pPr>
      <w:r>
        <w:rPr>
          <w:rFonts w:ascii="Times New Roman" w:hAnsi="Times New Roman"/>
          <w:b w:val="0"/>
          <w:sz w:val="28"/>
        </w:rPr>
        <w:t>Применение западных платформ напрямую в Казахстане ограничено их высокой стоимостью, длительными сроками внедрения и отсутствием адаптации к локальным типологиям. В частности, зарубежные модели не настроены на выявление обналичивания похищенных средств через группы физических дропперов в уличных банкоматах в сверхмалых временных окнах — типологию, которая в настоящей работе формализована и порождается в симуляторе (раздел 2.1).</w:t>
      </w:r>
    </w:p>
    <w:p>
      <w:pPr>
        <w:pStyle w:val="Heading2"/>
        <w:keepNext/>
        <w:spacing w:before="240" w:after="200"/>
        <w:jc w:val="left"/>
      </w:pPr>
      <w:r>
        <w:rPr>
          <w:rFonts w:ascii="Times New Roman" w:hAnsi="Times New Roman"/>
          <w:b/>
          <w:sz w:val="28"/>
        </w:rPr>
        <w:t>1.3 Математическая формализация графовых аномалий</w:t>
      </w:r>
    </w:p>
    <w:p>
      <w:pPr>
        <w:spacing w:after="120"/>
        <w:ind w:firstLine="709"/>
        <w:jc w:val="both"/>
      </w:pPr>
      <w:r>
        <w:rPr>
          <w:rFonts w:ascii="Times New Roman" w:hAnsi="Times New Roman"/>
          <w:b w:val="0"/>
          <w:sz w:val="28"/>
        </w:rPr>
        <w:t>Для построения системы обнаружения мошеннических сетей структура транзакций переводится на язык теории графов. Финансовая система представляется ориентированным взвешенным мультиграфом</w:t>
      </w:r>
    </w:p>
    <w:p>
      <w:pPr>
        <w:spacing w:before="120" w:after="120"/>
        <w:jc w:val="center"/>
      </w:pPr>
      <w:r>
        <w:rPr>
          <w:rFonts w:ascii="Times New Roman" w:hAnsi="Times New Roman"/>
          <w:i/>
          <w:sz w:val="28"/>
        </w:rPr>
        <w:t>G = (V, E, W_e),</w:t>
      </w:r>
    </w:p>
    <w:p>
      <w:pPr>
        <w:spacing w:after="120"/>
        <w:ind w:firstLine="709"/>
        <w:jc w:val="both"/>
      </w:pPr>
      <w:r>
        <w:rPr>
          <w:rFonts w:ascii="Times New Roman" w:hAnsi="Times New Roman"/>
          <w:b w:val="0"/>
          <w:sz w:val="28"/>
        </w:rPr>
        <w:t>где V — множество вершин, представляющих финансовые сущности (счета, идентификационные номера, карты), E — множество ориентированных рёбер, соответствующих транзакциям, W_e — веса рёбер, отражающие объём переведённых средств и временные метки операций.</w:t>
      </w:r>
    </w:p>
    <w:p>
      <w:pPr>
        <w:spacing w:after="120"/>
        <w:ind w:firstLine="709"/>
        <w:jc w:val="both"/>
      </w:pPr>
      <w:r>
        <w:rPr>
          <w:rFonts w:ascii="Times New Roman" w:hAnsi="Times New Roman"/>
          <w:b w:val="0"/>
          <w:sz w:val="28"/>
        </w:rPr>
        <w:t>Для каждого узла v рассчитывается его локальная структурная окрестность первого порядка — эгонет. Анализ эгонетов позволяет выявлять отклонения от нормального распределения связей [4]. Ключевыми топологическими метриками являются следующие.</w:t>
      </w:r>
    </w:p>
    <w:p>
      <w:pPr>
        <w:spacing w:after="120"/>
        <w:ind w:firstLine="709"/>
        <w:jc w:val="both"/>
      </w:pPr>
      <w:r>
        <w:rPr>
          <w:rFonts w:ascii="Times New Roman" w:hAnsi="Times New Roman"/>
          <w:b w:val="0"/>
          <w:sz w:val="28"/>
        </w:rPr>
        <w:t>1. Локальная плотность эгонета:</w:t>
      </w:r>
    </w:p>
    <w:p>
      <w:pPr>
        <w:spacing w:before="120" w:after="120"/>
        <w:jc w:val="center"/>
      </w:pPr>
      <w:r>
        <w:rPr>
          <w:rFonts w:ascii="Times New Roman" w:hAnsi="Times New Roman"/>
          <w:i/>
          <w:sz w:val="28"/>
        </w:rPr>
        <w:t>D(v) = |E_v| / (|V_v| · (|V_v| − 1)),</w:t>
      </w:r>
    </w:p>
    <w:p>
      <w:pPr>
        <w:spacing w:after="120"/>
        <w:ind w:firstLine="709"/>
        <w:jc w:val="both"/>
      </w:pPr>
      <w:r>
        <w:rPr>
          <w:rFonts w:ascii="Times New Roman" w:hAnsi="Times New Roman"/>
          <w:b w:val="0"/>
          <w:sz w:val="28"/>
        </w:rPr>
        <w:t>где V_v — множество соседей узла v, включая его самого, E_v — множество рёбер между ними. Аномально низкая плотность эгонета при высокой степени входящих рёбер указывает на транзитный характер узла.</w:t>
      </w:r>
    </w:p>
    <w:p>
      <w:pPr>
        <w:spacing w:after="120"/>
        <w:ind w:firstLine="709"/>
        <w:jc w:val="both"/>
      </w:pPr>
      <w:r>
        <w:rPr>
          <w:rFonts w:ascii="Times New Roman" w:hAnsi="Times New Roman"/>
          <w:b w:val="0"/>
          <w:sz w:val="28"/>
        </w:rPr>
        <w:t>2. Центральность по посредничеству:</w:t>
      </w:r>
    </w:p>
    <w:p>
      <w:pPr>
        <w:spacing w:before="120" w:after="120"/>
        <w:jc w:val="center"/>
      </w:pPr>
      <w:r>
        <w:rPr>
          <w:rFonts w:ascii="Times New Roman" w:hAnsi="Times New Roman"/>
          <w:i/>
          <w:sz w:val="28"/>
        </w:rPr>
        <w:t>B(v) = Σ_{s ≠ v ≠ t} σ_st(v) / σ_st,</w:t>
      </w:r>
    </w:p>
    <w:p>
      <w:pPr>
        <w:spacing w:after="120"/>
        <w:ind w:firstLine="709"/>
        <w:jc w:val="both"/>
      </w:pPr>
      <w:r>
        <w:rPr>
          <w:rFonts w:ascii="Times New Roman" w:hAnsi="Times New Roman"/>
          <w:b w:val="0"/>
          <w:sz w:val="28"/>
        </w:rPr>
        <w:t>где σ_st — общее количество кратчайших путей между вершинами s и t, а σ_st(v) — количество путей, проходящих через узел v. Вершины с высоким значением B(v) выступают транзитными шлюзами, связывающими разрозненные сегменты графа.</w:t>
      </w:r>
    </w:p>
    <w:p>
      <w:pPr>
        <w:spacing w:after="120"/>
        <w:ind w:firstLine="709"/>
        <w:jc w:val="both"/>
      </w:pPr>
      <w:r>
        <w:rPr>
          <w:rFonts w:ascii="Times New Roman" w:hAnsi="Times New Roman"/>
          <w:b w:val="0"/>
          <w:sz w:val="28"/>
        </w:rPr>
        <w:t>3. Концентрация по PageRank:</w:t>
      </w:r>
    </w:p>
    <w:p>
      <w:pPr>
        <w:spacing w:before="120" w:after="120"/>
        <w:jc w:val="center"/>
      </w:pPr>
      <w:r>
        <w:rPr>
          <w:rFonts w:ascii="Times New Roman" w:hAnsi="Times New Roman"/>
          <w:i/>
          <w:sz w:val="28"/>
        </w:rPr>
        <w:t>PR(v) = (1 − d) + d · Σ_{u ∈ In(v)} PR(u) / Out(u),</w:t>
      </w:r>
    </w:p>
    <w:p>
      <w:pPr>
        <w:spacing w:after="120"/>
        <w:ind w:firstLine="709"/>
        <w:jc w:val="both"/>
      </w:pPr>
      <w:r>
        <w:rPr>
          <w:rFonts w:ascii="Times New Roman" w:hAnsi="Times New Roman"/>
          <w:b w:val="0"/>
          <w:sz w:val="28"/>
        </w:rPr>
        <w:t>где d — коэффициент затухания, In(v) — множество входящих рёбер, Out(u) — степень исходящих связей соседа. PageRank выявляет узлы-концентраторы, аккумулирующие средства от множества ранее не связанных отправителей.</w:t>
      </w:r>
    </w:p>
    <w:p>
      <w:pPr>
        <w:spacing w:after="120"/>
        <w:ind w:firstLine="709"/>
        <w:jc w:val="both"/>
      </w:pPr>
      <w:r>
        <w:rPr>
          <w:rFonts w:ascii="Times New Roman" w:hAnsi="Times New Roman"/>
          <w:b w:val="0"/>
          <w:sz w:val="28"/>
        </w:rPr>
        <w:t>Существенное методологическое замечание, вытекающее из результатов настоящей работы: перечисленные метрики являются кандидатами в признаки, а не признаками. В системе «Vertex» принято правило, по которому признак включается в модель только после того, как он превзошёл перемешанный контроль — ту же величину, вычисленную на случайно переставленных метках. Признак, не побивший такой контроль, не подключается, а отрицательный результат фиксируется в отчёте наравне с положительным (раздел 3.2).</w:t>
      </w:r>
    </w:p>
    <w:p>
      <w:r>
        <w:br w:type="page"/>
      </w:r>
    </w:p>
    <w:p>
      <w:pPr>
        <w:pStyle w:val="Heading1"/>
        <w:keepNext/>
        <w:spacing w:before="240" w:after="200"/>
        <w:jc w:val="center"/>
      </w:pPr>
      <w:r>
        <w:rPr>
          <w:rFonts w:ascii="Times New Roman" w:hAnsi="Times New Roman"/>
          <w:b/>
          <w:sz w:val="30"/>
        </w:rPr>
        <w:t>2. МЕТОДОЛОГИЯ И АЛГОРИТМИЧЕСКИЕ РЕШЕНИЯ СИСТЕМЫ «VERTEX»</w:t>
      </w:r>
    </w:p>
    <w:p>
      <w:pPr>
        <w:pStyle w:val="Heading2"/>
        <w:keepNext/>
        <w:spacing w:before="240" w:after="200"/>
        <w:jc w:val="left"/>
      </w:pPr>
      <w:r>
        <w:rPr>
          <w:rFonts w:ascii="Times New Roman" w:hAnsi="Times New Roman"/>
          <w:b/>
          <w:sz w:val="28"/>
        </w:rPr>
        <w:t>2.1 Формализация пяти типологий мошенничества и их структурные подписи</w:t>
      </w:r>
    </w:p>
    <w:p>
      <w:pPr>
        <w:spacing w:after="120"/>
        <w:ind w:firstLine="709"/>
        <w:jc w:val="both"/>
      </w:pPr>
      <w:r>
        <w:rPr>
          <w:rFonts w:ascii="Times New Roman" w:hAnsi="Times New Roman"/>
          <w:b w:val="0"/>
          <w:sz w:val="28"/>
        </w:rPr>
        <w:t>В основе методологии выявления финансовых преступлений в системе «Vertex» лежит концепция структурных подписей. Каждая из основных локальных типологий, характерных для рынка Казахстана, имеет представление в топологическом пространстве транзакционного графа. Ниже приведено описание пяти выявляемых типологий.</w:t>
      </w:r>
    </w:p>
    <w:p>
      <w:pPr>
        <w:spacing w:after="120"/>
        <w:ind w:left="567"/>
        <w:jc w:val="both"/>
      </w:pPr>
      <w:r>
        <w:rPr>
          <w:rFonts w:ascii="Times New Roman" w:hAnsi="Times New Roman"/>
          <w:b w:val="0"/>
          <w:sz w:val="28"/>
        </w:rPr>
        <w:t>1. «Чёрная дыра» (blackhole) — плотный направленный подграф с лавинообразным притоком входящих рёбер от множества несвязанных вершин за короткое время, при этом исходящие рёбра либо отсутствуют, либо ведут на счета ограниченного числа организаторов. Классическая структура аккумулирования капитала финансовой пирамиды на этапе сбора средств [8].</w:t>
      </w:r>
    </w:p>
    <w:p>
      <w:pPr>
        <w:spacing w:after="120"/>
        <w:ind w:left="567"/>
        <w:jc w:val="both"/>
      </w:pPr>
      <w:r>
        <w:rPr>
          <w:rFonts w:ascii="Times New Roman" w:hAnsi="Times New Roman"/>
          <w:b w:val="0"/>
          <w:sz w:val="28"/>
        </w:rPr>
        <w:t>2. «Вулкан» (volcano) — топологический антипод предыдущей: взрывной исходящий поток из одного центрального узла на сотни ранее пассивных узлов с последующим быстрым выводом. Отражает этап выплаты вознаграждений или распыления активов [8].</w:t>
      </w:r>
    </w:p>
    <w:p>
      <w:pPr>
        <w:spacing w:after="120"/>
        <w:ind w:left="567"/>
        <w:jc w:val="both"/>
      </w:pPr>
      <w:r>
        <w:rPr>
          <w:rFonts w:ascii="Times New Roman" w:hAnsi="Times New Roman"/>
          <w:b w:val="0"/>
          <w:sz w:val="28"/>
        </w:rPr>
        <w:t>3. Веерный транзит (structuring) — цепочка, в которой крупная сумма дробится на мелкие непересекающиеся потоки, проходящие через каскады промежуточных узлов с целью обхода комплаенс-лимитов, и вновь объединяется на счетах конечных получателей.</w:t>
      </w:r>
    </w:p>
    <w:p>
      <w:pPr>
        <w:spacing w:after="120"/>
        <w:ind w:left="567"/>
        <w:jc w:val="both"/>
      </w:pPr>
      <w:r>
        <w:rPr>
          <w:rFonts w:ascii="Times New Roman" w:hAnsi="Times New Roman"/>
          <w:b w:val="0"/>
          <w:sz w:val="28"/>
        </w:rPr>
        <w:t>4. Циклический транзит (circular layering) — замкнутый контур транзакций вида v₁ → v₂ → … → vₙ → v₁, в котором объём средств циркулирует между подконтрольными счетами без вывода из контура. Цель — искусственное раздувание оборотов для симуляции легитимной деловой активности.</w:t>
      </w:r>
    </w:p>
    <w:p>
      <w:pPr>
        <w:spacing w:after="120"/>
        <w:ind w:left="567"/>
        <w:jc w:val="both"/>
      </w:pPr>
      <w:r>
        <w:rPr>
          <w:rFonts w:ascii="Times New Roman" w:hAnsi="Times New Roman"/>
          <w:b w:val="0"/>
          <w:sz w:val="28"/>
        </w:rPr>
        <w:t>5. Банкоматная вспышка (ATM cash-out) — конвергенция множества независимых ветвей транзитного графа в узкую группу вершин, представляющих физические идентификаторы банкоматов, в сверхмалом временном окне. Структура выдаёт скоординированное физическое обналичивание группой дропперов по единому сигналу управления.</w:t>
      </w:r>
    </w:p>
    <w:p>
      <w:pPr>
        <w:jc w:val="center"/>
      </w:pPr>
      <w:r>
        <w:drawing>
          <wp:inline xmlns:a="http://schemas.openxmlformats.org/drawingml/2006/main" xmlns:pic="http://schemas.openxmlformats.org/drawingml/2006/picture">
            <wp:extent cx="5760000" cy="4254857"/>
            <wp:docPr id="1" name="Picture 1"/>
            <wp:cNvGraphicFramePr>
              <a:graphicFrameLocks noChangeAspect="1"/>
            </wp:cNvGraphicFramePr>
            <a:graphic>
              <a:graphicData uri="http://schemas.openxmlformats.org/drawingml/2006/picture">
                <pic:pic>
                  <pic:nvPicPr>
                    <pic:cNvPr id="0" name="network_anatomy.png"/>
                    <pic:cNvPicPr/>
                  </pic:nvPicPr>
                  <pic:blipFill>
                    <a:blip r:embed="rId10"/>
                    <a:stretch>
                      <a:fillRect/>
                    </a:stretch>
                  </pic:blipFill>
                  <pic:spPr>
                    <a:xfrm>
                      <a:off x="0" y="0"/>
                      <a:ext cx="5760000" cy="4254857"/>
                    </a:xfrm>
                    <a:prstGeom prst="rect"/>
                  </pic:spPr>
                </pic:pic>
              </a:graphicData>
            </a:graphic>
          </wp:inline>
        </w:drawing>
      </w:r>
    </w:p>
    <w:p>
      <w:pPr>
        <w:spacing w:before="80" w:after="200"/>
        <w:jc w:val="center"/>
      </w:pPr>
      <w:r>
        <w:rPr>
          <w:rFonts w:ascii="Times New Roman" w:hAnsi="Times New Roman"/>
          <w:i/>
          <w:sz w:val="24"/>
        </w:rPr>
        <w:t>Рисунок 1. Анатомия реального кольца из симулятора: один источник, десять дропперов, один банкомат. Ширина линии пропорциональна сумме перевода. Из 3 933 151 тенге входящего потока на счетах удержано 172 504 тенге (4,4 %), вся операция укладывается в 17 минут.</w:t>
      </w:r>
    </w:p>
    <w:p>
      <w:pPr>
        <w:spacing w:after="120"/>
        <w:ind w:firstLine="709"/>
        <w:jc w:val="both"/>
      </w:pPr>
      <w:r>
        <w:rPr>
          <w:rFonts w:ascii="Times New Roman" w:hAnsi="Times New Roman"/>
          <w:b w:val="0"/>
          <w:sz w:val="28"/>
        </w:rPr>
        <w:t>Рисунок 1 иллюстрирует гипотезу работы в наиболее наглядной форме. Кольцо распознаётся не по тому, кто его участники, а по трём свойствам формы потока: схождение множества ветвей в одну точку выхода, отсутствие удержания средств (на счетах остаётся 4,4 % при транзите более трёх миллионов тенге) и сверхмалое временное окно. Ни одно из этих свойств не может быть изменено организатором без отказа от самой схемы, тогда как личности участников и их устройства меняются за минуты.</w:t>
      </w:r>
    </w:p>
    <w:p>
      <w:pPr>
        <w:spacing w:after="120"/>
        <w:ind w:firstLine="709"/>
        <w:jc w:val="both"/>
      </w:pPr>
      <w:r>
        <w:rPr>
          <w:rFonts w:ascii="Times New Roman" w:hAnsi="Times New Roman"/>
          <w:b w:val="0"/>
          <w:sz w:val="28"/>
        </w:rPr>
        <w:t xml:space="preserve">Формальные предикаты этих типологий реализованы в модуле контрактов предметной области, а их срабатывание проверяется автоматическими тестами. Существенно, что типология, для которой в данных отсутствуют необходимые события, </w:t>
      </w:r>
      <w:r>
        <w:rPr>
          <w:rFonts w:ascii="Times New Roman" w:hAnsi="Times New Roman"/>
          <w:b/>
          <w:sz w:val="28"/>
        </w:rPr>
        <w:t>не считается выполненной по умолчанию</w:t>
      </w:r>
      <w:r>
        <w:rPr>
          <w:rFonts w:ascii="Times New Roman" w:hAnsi="Times New Roman"/>
          <w:b w:val="0"/>
          <w:sz w:val="28"/>
        </w:rPr>
        <w:t xml:space="preserve">: соответствующая проверка воздерживается от вердикта, а не возвращает ноль. Это различие оказалось принципиальным: в ходе работы обнаружилось, что три типологии, связанные с криптовалютным каналом, формально вычислялись, но не могли сработать ни разу, поскольку генератор мира не выпускал ни одного события с криптовалютным каналом. Дефект был устранён добавлением соответствующих популяций, после чего типологии стали срабатывать, а рядом с ними в мир были помещены </w:t>
      </w:r>
      <w:r>
        <w:rPr>
          <w:rFonts w:ascii="Times New Roman" w:hAnsi="Times New Roman"/>
          <w:b/>
          <w:sz w:val="28"/>
        </w:rPr>
        <w:t>честные криптовалютные трейдеры</w:t>
      </w:r>
      <w:r>
        <w:rPr>
          <w:rFonts w:ascii="Times New Roman" w:hAnsi="Times New Roman"/>
          <w:b w:val="0"/>
          <w:sz w:val="28"/>
        </w:rPr>
        <w:t xml:space="preserve"> — без такого контроля любой детектор выучил бы правило «криптовалюта равна мошенничеству», что является тавтологией, а не результатом.</w:t>
      </w:r>
    </w:p>
    <w:p>
      <w:pPr>
        <w:pStyle w:val="Heading2"/>
        <w:keepNext/>
        <w:spacing w:before="240" w:after="200"/>
        <w:jc w:val="left"/>
      </w:pPr>
      <w:r>
        <w:rPr>
          <w:rFonts w:ascii="Times New Roman" w:hAnsi="Times New Roman"/>
          <w:b/>
          <w:sz w:val="28"/>
        </w:rPr>
        <w:t>2.2 Механизм разрешения сущностей (Entity Resolution)</w:t>
      </w:r>
    </w:p>
    <w:p>
      <w:pPr>
        <w:spacing w:after="120"/>
        <w:ind w:firstLine="709"/>
        <w:jc w:val="both"/>
      </w:pPr>
      <w:r>
        <w:rPr>
          <w:rFonts w:ascii="Times New Roman" w:hAnsi="Times New Roman"/>
          <w:b w:val="0"/>
          <w:sz w:val="28"/>
        </w:rPr>
        <w:t>Одной из инженерных проблем транзакционного антифрода является низкое качество входных метаданных. Злоумышленники используют поддельные учётные записи, виртуальные телефонные номера и меняют устройства, разбивая единый граф связей на формально несвязанные транзакции. Для восстановления целостной картины в систему интегрировано ядро разрешения сущностей — процесс автоматического связывания разрозненных цифровых следов в единые логические профили [11, 12].</w:t>
      </w:r>
    </w:p>
    <w:p>
      <w:pPr>
        <w:spacing w:after="120"/>
        <w:ind w:firstLine="709"/>
        <w:jc w:val="both"/>
      </w:pPr>
      <w:r>
        <w:rPr>
          <w:rFonts w:ascii="Times New Roman" w:hAnsi="Times New Roman"/>
          <w:b w:val="0"/>
          <w:sz w:val="28"/>
        </w:rPr>
        <w:t>Процесс включает детерминированное сопоставление по жёстким идентификаторам и вероятностное сопоставление на основе нечёткого сравнения текстовых полей, адресов и поведенческих характеристик. Классическая реализация на базе графовых СУБД сталкивается с падением производительности при глубоких обходах ветвей связей. В системе «Vertex» применена гибридная архитектура: детерминированное ядро сопоставления вынесено в отдельный слой предметной области, а поисковая часть, работающая поверх графовой структуры, реализована на распределённом поисковом движке с инвертированными индексами.</w:t>
      </w:r>
    </w:p>
    <w:p>
      <w:pPr>
        <w:spacing w:after="120"/>
        <w:ind w:firstLine="709"/>
        <w:jc w:val="both"/>
      </w:pPr>
      <w:r>
        <w:rPr>
          <w:rFonts w:ascii="Times New Roman" w:hAnsi="Times New Roman"/>
          <w:b w:val="0"/>
          <w:sz w:val="28"/>
        </w:rPr>
        <w:t xml:space="preserve">Архитектурное требование, реализованное в проекте: слой предметной области не содержит сетевых клиентов. Это требование не декларативно — оно проверяется автоматическим контрактом импортов на каждом запуске проверки качества, и попытка вернуть сетевой вызов в доменный слой приводит к отказу сборки. Заявленная целевая производительность обработки в пределах 50 миллисекунд на транзакцию является </w:t>
      </w:r>
      <w:r>
        <w:rPr>
          <w:rFonts w:ascii="Times New Roman" w:hAnsi="Times New Roman"/>
          <w:b/>
          <w:sz w:val="28"/>
        </w:rPr>
        <w:t>проектным требованием к промышленной конфигурации</w:t>
      </w:r>
      <w:r>
        <w:rPr>
          <w:rFonts w:ascii="Times New Roman" w:hAnsi="Times New Roman"/>
          <w:b w:val="0"/>
          <w:sz w:val="28"/>
        </w:rPr>
        <w:t>, а не измеренной величиной настоящей работы: экспериментальная часть выполнена на офлайн-выборках, и подмена проектного требования измерением была бы именно тем классом ошибки, который данная работа стремится исключить.</w:t>
      </w:r>
    </w:p>
    <w:p>
      <w:pPr>
        <w:pStyle w:val="Heading2"/>
        <w:keepNext/>
        <w:spacing w:before="240" w:after="200"/>
        <w:jc w:val="left"/>
      </w:pPr>
      <w:r>
        <w:rPr>
          <w:rFonts w:ascii="Times New Roman" w:hAnsi="Times New Roman"/>
          <w:b/>
          <w:sz w:val="28"/>
        </w:rPr>
        <w:t>2.3 Параметр W: временной инвариант для пирамид и дроп-сетей</w:t>
      </w:r>
    </w:p>
    <w:p>
      <w:pPr>
        <w:spacing w:after="120"/>
        <w:ind w:firstLine="709"/>
        <w:jc w:val="both"/>
      </w:pPr>
      <w:r>
        <w:rPr>
          <w:rFonts w:ascii="Times New Roman" w:hAnsi="Times New Roman"/>
          <w:b w:val="0"/>
          <w:sz w:val="28"/>
        </w:rPr>
        <w:t>Ключевым теоретическим вкладом проекта является утверждение о том, что финансовая пирамида и распределённая дропперская сеть обналичивания обладают одинаковой топологической структурой и подчиняются единому закону движения капитала. Обе сущности представляют собой ориентированный транзитный коридор, в котором отсутствует удержание капитала в промежуточных узлах, а весь входящий поток перенаправляется к точке выхода.</w:t>
      </w:r>
    </w:p>
    <w:p>
      <w:pPr>
        <w:spacing w:after="120"/>
        <w:ind w:firstLine="709"/>
        <w:jc w:val="both"/>
      </w:pPr>
      <w:r>
        <w:rPr>
          <w:rFonts w:ascii="Times New Roman" w:hAnsi="Times New Roman"/>
          <w:b w:val="0"/>
          <w:sz w:val="28"/>
        </w:rPr>
        <w:t>Единственным фундаментальным различием является временной масштаб наблюдения. Дропперская сеть — сверхбыстрый транзит, где похищенные средства проходят через пять-шесть посредников и обналичиваются за минуты, пока жертва не заблокировала карту. Финансовая пирамида — замедленный транзит, растянутый на месяцы: средства новых участников выплачиваются прежним в виде дивидендов, но на длинном интервале система также стремится к полному выводу капитала организаторами.</w:t>
      </w:r>
    </w:p>
    <w:p>
      <w:pPr>
        <w:spacing w:after="120"/>
        <w:ind w:firstLine="709"/>
        <w:jc w:val="both"/>
      </w:pPr>
      <w:r>
        <w:rPr>
          <w:rFonts w:ascii="Times New Roman" w:hAnsi="Times New Roman"/>
          <w:b w:val="0"/>
          <w:sz w:val="28"/>
        </w:rPr>
        <w:t>Для унификации обнаружения этих угроз разработан параметр W. Первоначальная форма параметра, записанная как отношение суммарного исходящего потока к входящему с общим экспоненциальным затуханием, была отвергнута в ходе внутреннего рецензирования по четырём причинам: она не определена при нулевом входящем потоке; не ограничена сверху, из-за чего у большинства транзитных счетов упиралась в искусственный потолок и становилась константой; оперировала отношением агрегатов, одинаковым у мула и у магазина с равным оборотом; и смешивала в одном выражении два разных объекта — окно наблюдения и пару «приход — расход», для которой только и определено время удержания.</w:t>
      </w:r>
    </w:p>
    <w:p>
      <w:pPr>
        <w:spacing w:after="120"/>
        <w:ind w:firstLine="709"/>
        <w:jc w:val="both"/>
      </w:pPr>
      <w:r>
        <w:rPr>
          <w:rFonts w:ascii="Times New Roman" w:hAnsi="Times New Roman"/>
          <w:b w:val="0"/>
          <w:sz w:val="28"/>
        </w:rPr>
        <w:t>Итоговая форма параметра вычисляется по каждой сопоставленной посылке денежных средств. Сопоставление входящих и исходящих сумм выполняется по принципу FIFO, после чего каждая посылка получает собственное время удержания:</w:t>
      </w:r>
    </w:p>
    <w:p>
      <w:pPr>
        <w:spacing w:before="120" w:after="120"/>
        <w:jc w:val="center"/>
      </w:pPr>
      <w:r>
        <w:rPr>
          <w:rFonts w:ascii="Times New Roman" w:hAnsi="Times New Roman"/>
          <w:i/>
          <w:sz w:val="28"/>
        </w:rPr>
        <w:t>W = ( Σ_k v_k · e^(−λ Δt_k) ) / Σ_in ,   Σ_in &gt; 0,</w:t>
      </w:r>
    </w:p>
    <w:p>
      <w:pPr>
        <w:spacing w:after="120"/>
        <w:ind w:firstLine="709"/>
        <w:jc w:val="both"/>
      </w:pPr>
      <w:r>
        <w:rPr>
          <w:rFonts w:ascii="Times New Roman" w:hAnsi="Times New Roman"/>
          <w:b w:val="0"/>
          <w:sz w:val="28"/>
        </w:rPr>
        <w:t>где Σ_in — совокупный объём входящих транзакций узла за период наблюдения; k — индекс сопоставленной исходящей посылки; v_k — её объём; Δt_k = t_out,k − t_in,k — время, которое посылка пролежала на счёте; λ — коэффициент временной чувствительности, задаваемый извне по типологии.</w:t>
      </w:r>
    </w:p>
    <w:p>
      <w:pPr>
        <w:spacing w:after="120"/>
        <w:ind w:firstLine="709"/>
        <w:jc w:val="both"/>
      </w:pPr>
      <w:r>
        <w:rPr>
          <w:rFonts w:ascii="Times New Roman" w:hAnsi="Times New Roman"/>
          <w:b w:val="0"/>
          <w:sz w:val="28"/>
        </w:rPr>
        <w:t xml:space="preserve">Такая форма обладает четырьмя свойствами, которых не было у исходной. Во-первых, она строго лежит в интервале [0, 1], поэтому значения сравнимы между счетами и не требуют искусственного ограничения. Во-вторых, при отсутствии входящего потока параметр </w:t>
      </w:r>
      <w:r>
        <w:rPr>
          <w:rFonts w:ascii="Times New Roman" w:hAnsi="Times New Roman"/>
          <w:b/>
          <w:sz w:val="28"/>
        </w:rPr>
        <w:t>воздерживается</w:t>
      </w:r>
      <w:r>
        <w:rPr>
          <w:rFonts w:ascii="Times New Roman" w:hAnsi="Times New Roman"/>
          <w:b w:val="0"/>
          <w:sz w:val="28"/>
        </w:rPr>
        <w:t xml:space="preserve"> и возвращает неопределённое значение, а не ноль: отсутствие ответа и ответ «ноль» — разные вещи, и вызывающая сторона обязана их различать. В-третьих, каждое слагаемое несёт собственное время удержания, поэтому разные временные масштабы описываются одной формулой. В-четвёртых, коэффициент λ является единственным параметром настройки временного фокуса: при малых значениях модель работает в режиме долгосрочного анализа пирамид, при больших — в режиме обнаружения минутного транзита.</w:t>
      </w:r>
    </w:p>
    <w:p>
      <w:pPr>
        <w:spacing w:after="120"/>
        <w:ind w:firstLine="709"/>
        <w:jc w:val="both"/>
      </w:pPr>
      <w:r>
        <w:rPr>
          <w:rFonts w:ascii="Times New Roman" w:hAnsi="Times New Roman"/>
          <w:b w:val="0"/>
          <w:sz w:val="28"/>
        </w:rPr>
        <w:t xml:space="preserve">Существенная оговорка методологического характера: сопоставление по принципу FIFO является </w:t>
      </w:r>
      <w:r>
        <w:rPr>
          <w:rFonts w:ascii="Times New Roman" w:hAnsi="Times New Roman"/>
          <w:b/>
          <w:sz w:val="28"/>
        </w:rPr>
        <w:t>допущением, а не фактом</w:t>
      </w:r>
      <w:r>
        <w:rPr>
          <w:rFonts w:ascii="Times New Roman" w:hAnsi="Times New Roman"/>
          <w:b w:val="0"/>
          <w:sz w:val="28"/>
        </w:rPr>
        <w:t>. Деньги обезличены, и когда на счёт поступило три платежа, а ушёл один, объективно неизвестно, какие именно средства были выведены. Данное допущение зафиксировано в методике явно, наряду с самой формулой, и подлежит проверке при переходе на реальные данные.</w:t>
      </w:r>
    </w:p>
    <w:p>
      <w:pPr>
        <w:pStyle w:val="Heading2"/>
        <w:keepNext/>
        <w:spacing w:before="240" w:after="200"/>
        <w:jc w:val="left"/>
      </w:pPr>
      <w:r>
        <w:rPr>
          <w:rFonts w:ascii="Times New Roman" w:hAnsi="Times New Roman"/>
          <w:b/>
          <w:sz w:val="28"/>
        </w:rPr>
        <w:t>2.4 Отбор рёбер графа и отрицательный результат по методу OES</w:t>
      </w:r>
    </w:p>
    <w:p>
      <w:pPr>
        <w:spacing w:after="120"/>
        <w:ind w:firstLine="709"/>
        <w:jc w:val="both"/>
      </w:pPr>
      <w:r>
        <w:rPr>
          <w:rFonts w:ascii="Times New Roman" w:hAnsi="Times New Roman"/>
          <w:b w:val="0"/>
          <w:sz w:val="28"/>
        </w:rPr>
        <w:t>Переход к глубоким графовым нейронным сетям на межбанковском уровне ограничен вычислительными рамками: классическое обучение требует вычисления представлений для всего графа, что при миллионных объёмах операций ведёт к росту сложности и перегрузке памяти. Кроме того, при увеличении глубины сети возникает проблема пересглаживания, при которой признаки узлов усредняются и сходятся к общей точке, делая невозможным разделение легитимных и мошеннических счетов [6, 7].</w:t>
      </w:r>
    </w:p>
    <w:p>
      <w:pPr>
        <w:spacing w:after="120"/>
        <w:ind w:firstLine="709"/>
        <w:jc w:val="both"/>
      </w:pPr>
      <w:r>
        <w:rPr>
          <w:rFonts w:ascii="Times New Roman" w:hAnsi="Times New Roman"/>
          <w:b w:val="0"/>
          <w:sz w:val="28"/>
        </w:rPr>
        <w:t>В качестве средства борьбы с этими явлениями в литературе предложен метод одностороннего отбора рёбер (One-Side Edge Sampling, OES), при котором рёбра с высокой уверенностью принадлежности к легитимному классу временно исключаются из процедуры агрегации признаков [6]. Метод был реализован в проекте и подвергнут прямой экспериментальной проверке.</w:t>
      </w:r>
    </w:p>
    <w:p>
      <w:pPr>
        <w:spacing w:after="120"/>
        <w:ind w:firstLine="709"/>
        <w:jc w:val="both"/>
      </w:pPr>
      <w:r>
        <w:rPr>
          <w:rFonts w:ascii="Times New Roman" w:hAnsi="Times New Roman"/>
          <w:b/>
          <w:sz w:val="28"/>
        </w:rPr>
        <w:t>Полученный результат отрицательный, и он приводится наравне с положительными.</w:t>
      </w:r>
      <w:r>
        <w:rPr>
          <w:rFonts w:ascii="Times New Roman" w:hAnsi="Times New Roman"/>
          <w:b w:val="0"/>
          <w:sz w:val="28"/>
        </w:rPr>
        <w:t xml:space="preserve"> На реальных кандидатах, порождённых симулятором проекта, доля сохраняемых событий при применении отбора составила 0,7206 — то есть более четверти событий исключалось из вычисления признаков при каждом расчёте. Причина в масштабе: метод разработан для графов, где степени вершин на порядки превышают целевое значение отбора, тогда как в нашем случае большинство узлов имеет степень ниже порога, и фильтрация начинает удалять именно ту структуру, которую предполагалось анализировать. По результатам измерения вызовы отбора были удалены из вычисления признаков, а сам модуль сохранён как инструмент для будущих масштабов с указанием измеренного значения в документации.</w:t>
      </w:r>
    </w:p>
    <w:p>
      <w:pPr>
        <w:spacing w:after="120"/>
        <w:ind w:firstLine="709"/>
        <w:jc w:val="both"/>
      </w:pPr>
      <w:r>
        <w:rPr>
          <w:rFonts w:ascii="Times New Roman" w:hAnsi="Times New Roman"/>
          <w:b w:val="0"/>
          <w:sz w:val="28"/>
        </w:rPr>
        <w:t>Данный эпизод иллюстрирует принятое в работе правило: заимствованный из литературы метод не считается применимым, пока его эффект не измерен на собственных данных. Публикация сообщает об ускорении обучения более чем на 60 % на графах своего масштаба [6]; на нашем масштабе тот же метод оказался разрушительным. Оба утверждения совместимы и относятся к разным условиям.</w:t>
      </w:r>
    </w:p>
    <w:p>
      <w:r>
        <w:br w:type="page"/>
      </w:r>
    </w:p>
    <w:p>
      <w:pPr>
        <w:pStyle w:val="Heading1"/>
        <w:keepNext/>
        <w:spacing w:before="240" w:after="200"/>
        <w:jc w:val="center"/>
      </w:pPr>
      <w:r>
        <w:rPr>
          <w:rFonts w:ascii="Times New Roman" w:hAnsi="Times New Roman"/>
          <w:b/>
          <w:sz w:val="30"/>
        </w:rPr>
        <w:t>3. ПРОГРАММНАЯ РЕАЛИЗАЦИЯ И ЭКСПЕРИМЕНТАЛЬНАЯ ЧАСТЬ</w:t>
      </w:r>
    </w:p>
    <w:p>
      <w:pPr>
        <w:pStyle w:val="Heading2"/>
        <w:keepNext/>
        <w:spacing w:before="240" w:after="200"/>
        <w:jc w:val="left"/>
      </w:pPr>
      <w:r>
        <w:rPr>
          <w:rFonts w:ascii="Times New Roman" w:hAnsi="Times New Roman"/>
          <w:b/>
          <w:sz w:val="28"/>
        </w:rPr>
        <w:t>3.1 Архитектура системы и трёхветвевой ансамбль</w:t>
      </w:r>
    </w:p>
    <w:p>
      <w:pPr>
        <w:spacing w:after="120"/>
        <w:ind w:firstLine="709"/>
        <w:jc w:val="both"/>
      </w:pPr>
      <w:r>
        <w:rPr>
          <w:rFonts w:ascii="Times New Roman" w:hAnsi="Times New Roman"/>
          <w:b w:val="0"/>
          <w:sz w:val="28"/>
        </w:rPr>
        <w:t>Классификационное ядро системы «Vertex» построено как ансамбль из трёх ветвей, каждая из которых извлекает свой тип признаков.</w:t>
      </w:r>
    </w:p>
    <w:p>
      <w:pPr>
        <w:spacing w:after="120"/>
        <w:ind w:left="567"/>
        <w:jc w:val="both"/>
      </w:pPr>
      <w:r>
        <w:rPr>
          <w:rFonts w:ascii="Times New Roman" w:hAnsi="Times New Roman"/>
          <w:b w:val="0"/>
          <w:sz w:val="28"/>
        </w:rPr>
        <w:t>1. Табличная ветвь обрабатывает агрегированные характеристики счёта: объёмы операций, средние суммы, частоту операций, возраст счёта. Реализована на градиентном бустинге [9].</w:t>
      </w:r>
    </w:p>
    <w:p>
      <w:pPr>
        <w:spacing w:after="120"/>
        <w:ind w:left="567"/>
        <w:jc w:val="both"/>
      </w:pPr>
      <w:r>
        <w:rPr>
          <w:rFonts w:ascii="Times New Roman" w:hAnsi="Times New Roman"/>
          <w:b w:val="0"/>
          <w:sz w:val="28"/>
        </w:rPr>
        <w:t>2. Последовательностная ветвь анализирует временные ряды транзакций: всплески активности, интервалы между переводами, динамику исчерпания баланса.</w:t>
      </w:r>
    </w:p>
    <w:p>
      <w:pPr>
        <w:spacing w:after="120"/>
        <w:ind w:left="567"/>
        <w:jc w:val="both"/>
      </w:pPr>
      <w:r>
        <w:rPr>
          <w:rFonts w:ascii="Times New Roman" w:hAnsi="Times New Roman"/>
          <w:b w:val="0"/>
          <w:sz w:val="28"/>
        </w:rPr>
        <w:t>3. Графовая ветвь работает с топологическими признаками: мерами центральности, плотностью эгонета, характеристиками схождения путей и параметром W.</w:t>
      </w:r>
    </w:p>
    <w:p>
      <w:pPr>
        <w:spacing w:after="120"/>
        <w:ind w:firstLine="709"/>
        <w:jc w:val="both"/>
      </w:pPr>
      <w:r>
        <w:rPr>
          <w:rFonts w:ascii="Times New Roman" w:hAnsi="Times New Roman"/>
          <w:b w:val="0"/>
          <w:sz w:val="28"/>
        </w:rPr>
        <w:t>Слияние ветвей выполняется логистической мета-моделью, а для преобразования сырых баллов в калиброванные вероятности применяется изотоническая регрессия. Для контроля устойчивости в конвейере рассчитывается индекс стабильности популяции, позволяющий фиксировать дрейф тактик мошенников и инициировать переобучение.</w:t>
      </w:r>
    </w:p>
    <w:p>
      <w:pPr>
        <w:spacing w:after="120"/>
        <w:ind w:firstLine="709"/>
        <w:jc w:val="both"/>
      </w:pPr>
      <w:r>
        <w:rPr>
          <w:rFonts w:ascii="Times New Roman" w:hAnsi="Times New Roman"/>
          <w:b w:val="0"/>
          <w:sz w:val="28"/>
        </w:rPr>
        <w:t xml:space="preserve">Здесь необходимо ясное указание на текущий статус реализации, поскольку от него зависит корректная интерпретация результатов раздела 3.3. В настоящей версии системы </w:t>
      </w:r>
      <w:r>
        <w:rPr>
          <w:rFonts w:ascii="Times New Roman" w:hAnsi="Times New Roman"/>
          <w:b/>
          <w:sz w:val="28"/>
        </w:rPr>
        <w:t>обученной графовой нейронной сетью ветви не располагают</w:t>
      </w:r>
      <w:r>
        <w:rPr>
          <w:rFonts w:ascii="Times New Roman" w:hAnsi="Times New Roman"/>
          <w:b w:val="0"/>
          <w:sz w:val="28"/>
        </w:rPr>
        <w:t>: последовательностная и графовая ветви работают в режиме эвристических заместителей, и этот режим сообщается самой системой в ответе диагностического запроса, а не скрывается. Все результаты настоящей работы получены на ансамбле, ядром которого является случайный лес, обучаемый по описанной ниже схеме валидации. Внедрение глубоких графовых моделей и аппарата объяснимости на основе значений Шепли отнесено к рекомендациям заключения. Такое разделение сделано намеренно: графовая нейронная сеть, обыгравшая неустоявшуюся базовую линию, не измеряет ничего.</w:t>
      </w:r>
    </w:p>
    <w:p>
      <w:pPr>
        <w:spacing w:after="120"/>
        <w:ind w:firstLine="709"/>
        <w:jc w:val="both"/>
      </w:pPr>
      <w:r>
        <w:rPr>
          <w:rFonts w:ascii="Times New Roman" w:hAnsi="Times New Roman"/>
          <w:b w:val="0"/>
          <w:sz w:val="28"/>
        </w:rPr>
        <w:t>Отдельным архитектурным решением является полное разделение генерации данных и вычисления признаков. Симулятор мира выпускает исключительно события вида «кто, кому, сколько, когда, по какому каналу»; все производные величины вычисляются детектором. Это разделение появилось не сразу и стало следствием обнаруженного дефекта, описанного в разделе 3.5.</w:t>
      </w:r>
    </w:p>
    <w:p>
      <w:pPr>
        <w:pStyle w:val="Heading2"/>
        <w:keepNext/>
        <w:spacing w:before="240" w:after="200"/>
        <w:jc w:val="left"/>
      </w:pPr>
      <w:r>
        <w:rPr>
          <w:rFonts w:ascii="Times New Roman" w:hAnsi="Times New Roman"/>
          <w:b/>
          <w:sz w:val="28"/>
        </w:rPr>
        <w:t>3.2 Методология измерения: purged walk-forward, потолки и лестница миров</w:t>
      </w:r>
    </w:p>
    <w:p>
      <w:pPr>
        <w:spacing w:after="120"/>
        <w:ind w:firstLine="709"/>
        <w:jc w:val="both"/>
      </w:pPr>
      <w:r>
        <w:rPr>
          <w:rFonts w:ascii="Times New Roman" w:hAnsi="Times New Roman"/>
          <w:b w:val="0"/>
          <w:sz w:val="28"/>
        </w:rPr>
        <w:t>Стандартная k-блочная кросс-валидация неприменима в транзакционных задачах из-за временной природы данных: случайное разбиение приводит к утечке информации из будущего, что искусственно завышает метрики на этапе разработки и ведёт к провалу при эксплуатации. Для исключения этого риска реализована методология purged walk-forward: выборка разбивается на последовательные временные сегменты, обучение всегда выполняется на предшествующих сегментах, тестирование — на последующем, а между ними устанавливается буферный разрыв, ширина которого превышает время жизни транзитных цепочек.</w:t>
      </w:r>
    </w:p>
    <w:p>
      <w:pPr>
        <w:spacing w:after="120"/>
        <w:ind w:firstLine="709"/>
        <w:jc w:val="both"/>
      </w:pPr>
      <w:r>
        <w:rPr>
          <w:rFonts w:ascii="Times New Roman" w:hAnsi="Times New Roman"/>
          <w:b w:val="0"/>
          <w:sz w:val="28"/>
        </w:rPr>
        <w:t>Помимо честного разбиения, в работе введены два измерительных инструмента, которые в литературе по антифроду встречаются редко.</w:t>
      </w:r>
    </w:p>
    <w:p>
      <w:pPr>
        <w:spacing w:after="120"/>
        <w:ind w:firstLine="709"/>
        <w:jc w:val="both"/>
      </w:pPr>
      <w:r>
        <w:rPr>
          <w:rFonts w:ascii="Times New Roman" w:hAnsi="Times New Roman"/>
          <w:b/>
          <w:sz w:val="28"/>
        </w:rPr>
        <w:t>Потолок объекта анализа.</w:t>
      </w:r>
      <w:r>
        <w:rPr>
          <w:rFonts w:ascii="Times New Roman" w:hAnsi="Times New Roman"/>
          <w:b w:val="0"/>
          <w:sz w:val="28"/>
        </w:rPr>
        <w:t xml:space="preserve"> Прежде чем оценивать модель, измеряется, какую часть мошенников выбранный объект анализа способен увидеть в принципе. Для счётного уровня это доля мошеннических счетов, набравших достаточную собственную историю для вычисления признаков потока: счёт с одним событием не имеет ни времени удержания, ни концентрации, ни всплесковости, и не является объектом данного анализа. Для сетевого уровня это доля реальных групп, которые процедура поиска предложила хотя бы одним кандидатом. Никакая модель не может превзойти этот потолок, поэтому оценка, приведённая без него, создаёт ложное впечатление о качестве.</w:t>
      </w:r>
    </w:p>
    <w:p>
      <w:pPr>
        <w:spacing w:after="120"/>
        <w:ind w:firstLine="709"/>
        <w:jc w:val="both"/>
      </w:pPr>
      <w:r>
        <w:rPr>
          <w:rFonts w:ascii="Times New Roman" w:hAnsi="Times New Roman"/>
          <w:b/>
          <w:sz w:val="28"/>
        </w:rPr>
        <w:t>Лестница миров.</w:t>
      </w:r>
      <w:r>
        <w:rPr>
          <w:rFonts w:ascii="Times New Roman" w:hAnsi="Times New Roman"/>
          <w:b w:val="0"/>
          <w:sz w:val="28"/>
        </w:rPr>
        <w:t xml:space="preserve"> Сложность задачи объявляется до проведения прогонов и фиксируется как последовательность из пяти миров, в каждом из которых меняется не количество честных участников, а их </w:t>
      </w:r>
      <w:r>
        <w:rPr>
          <w:rFonts w:ascii="Times New Roman" w:hAnsi="Times New Roman"/>
          <w:b/>
          <w:sz w:val="28"/>
        </w:rPr>
        <w:t>вид</w:t>
      </w:r>
      <w:r>
        <w:rPr>
          <w:rFonts w:ascii="Times New Roman" w:hAnsi="Times New Roman"/>
          <w:b w:val="0"/>
          <w:sz w:val="28"/>
        </w:rPr>
        <w:t xml:space="preserve"> (таблица 1). Показываются все ступени, включая те, на которых система не справляется. Это принципиальное отличие от практики, при которой строится несколько вариантов задачи и публикуется тот, где результат оказался наилучшим.</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0" w:line="240" w:lineRule="auto"/>
              <w:jc w:val="center"/>
            </w:pPr>
            <w:r/>
            <w:r>
              <w:rPr>
                <w:rFonts w:ascii="Times New Roman" w:hAnsi="Times New Roman"/>
                <w:b/>
                <w:sz w:val="24"/>
              </w:rPr>
              <w:t>Мир</w:t>
            </w:r>
          </w:p>
        </w:tc>
        <w:tc>
          <w:tcPr>
            <w:tcW w:type="dxa" w:w="3230"/>
          </w:tcPr>
          <w:p>
            <w:pPr>
              <w:spacing w:after="0" w:line="240" w:lineRule="auto"/>
              <w:jc w:val="center"/>
            </w:pPr>
            <w:r/>
            <w:r>
              <w:rPr>
                <w:rFonts w:ascii="Times New Roman" w:hAnsi="Times New Roman"/>
                <w:b/>
                <w:sz w:val="24"/>
              </w:rPr>
              <w:t>Какие честные участники добавляются</w:t>
            </w:r>
          </w:p>
        </w:tc>
        <w:tc>
          <w:tcPr>
            <w:tcW w:type="dxa" w:w="3230"/>
          </w:tcPr>
          <w:p>
            <w:pPr>
              <w:spacing w:after="0" w:line="240" w:lineRule="auto"/>
              <w:jc w:val="center"/>
            </w:pPr>
            <w:r/>
            <w:r>
              <w:rPr>
                <w:rFonts w:ascii="Times New Roman" w:hAnsi="Times New Roman"/>
                <w:b/>
                <w:sz w:val="24"/>
              </w:rPr>
              <w:t>Что проверяет ступень</w:t>
            </w:r>
          </w:p>
        </w:tc>
      </w:tr>
      <w:tr>
        <w:tc>
          <w:tcPr>
            <w:tcW w:type="dxa" w:w="3230"/>
          </w:tcPr>
          <w:p>
            <w:pPr>
              <w:spacing w:after="0" w:line="240" w:lineRule="auto"/>
              <w:jc w:val="left"/>
            </w:pPr>
            <w:r/>
            <w:r>
              <w:rPr>
                <w:rFonts w:ascii="Times New Roman" w:hAnsi="Times New Roman"/>
                <w:b w:val="0"/>
                <w:sz w:val="24"/>
              </w:rPr>
              <w:t>W1</w:t>
            </w:r>
          </w:p>
        </w:tc>
        <w:tc>
          <w:tcPr>
            <w:tcW w:type="dxa" w:w="3230"/>
          </w:tcPr>
          <w:p>
            <w:pPr>
              <w:spacing w:after="0" w:line="240" w:lineRule="auto"/>
              <w:jc w:val="center"/>
            </w:pPr>
            <w:r/>
            <w:r>
              <w:rPr>
                <w:rFonts w:ascii="Times New Roman" w:hAnsi="Times New Roman"/>
                <w:b w:val="0"/>
                <w:sz w:val="24"/>
              </w:rPr>
              <w:t>Зарплаты, фриланс</w:t>
            </w:r>
          </w:p>
        </w:tc>
        <w:tc>
          <w:tcPr>
            <w:tcW w:type="dxa" w:w="3230"/>
          </w:tcPr>
          <w:p>
            <w:pPr>
              <w:spacing w:after="0" w:line="240" w:lineRule="auto"/>
              <w:jc w:val="center"/>
            </w:pPr>
            <w:r/>
            <w:r>
              <w:rPr>
                <w:rFonts w:ascii="Times New Roman" w:hAnsi="Times New Roman"/>
                <w:b w:val="0"/>
                <w:sz w:val="24"/>
              </w:rPr>
              <w:t>Проверка прибора: сигнал заведомо есть</w:t>
            </w:r>
          </w:p>
        </w:tc>
      </w:tr>
      <w:tr>
        <w:tc>
          <w:tcPr>
            <w:tcW w:type="dxa" w:w="3230"/>
          </w:tcPr>
          <w:p>
            <w:pPr>
              <w:spacing w:after="0" w:line="240" w:lineRule="auto"/>
              <w:jc w:val="left"/>
            </w:pPr>
            <w:r/>
            <w:r>
              <w:rPr>
                <w:rFonts w:ascii="Times New Roman" w:hAnsi="Times New Roman"/>
                <w:b w:val="0"/>
                <w:sz w:val="24"/>
              </w:rPr>
              <w:t>W2</w:t>
            </w:r>
          </w:p>
        </w:tc>
        <w:tc>
          <w:tcPr>
            <w:tcW w:type="dxa" w:w="3230"/>
          </w:tcPr>
          <w:p>
            <w:pPr>
              <w:spacing w:after="0" w:line="240" w:lineRule="auto"/>
              <w:jc w:val="center"/>
            </w:pPr>
            <w:r/>
            <w:r>
              <w:rPr>
                <w:rFonts w:ascii="Times New Roman" w:hAnsi="Times New Roman"/>
                <w:b w:val="0"/>
                <w:sz w:val="24"/>
              </w:rPr>
              <w:t>Быстро расходующие средства</w:t>
            </w:r>
          </w:p>
        </w:tc>
        <w:tc>
          <w:tcPr>
            <w:tcW w:type="dxa" w:w="3230"/>
          </w:tcPr>
          <w:p>
            <w:pPr>
              <w:spacing w:after="0" w:line="240" w:lineRule="auto"/>
              <w:jc w:val="center"/>
            </w:pPr>
            <w:r/>
            <w:r>
              <w:rPr>
                <w:rFonts w:ascii="Times New Roman" w:hAnsi="Times New Roman"/>
                <w:b w:val="0"/>
                <w:sz w:val="24"/>
              </w:rPr>
              <w:t>Разделяют поведение, по которому узнаётся вывод</w:t>
            </w:r>
          </w:p>
        </w:tc>
      </w:tr>
      <w:tr>
        <w:tc>
          <w:tcPr>
            <w:tcW w:type="dxa" w:w="3230"/>
          </w:tcPr>
          <w:p>
            <w:pPr>
              <w:spacing w:after="0" w:line="240" w:lineRule="auto"/>
              <w:jc w:val="left"/>
            </w:pPr>
            <w:r/>
            <w:r>
              <w:rPr>
                <w:rFonts w:ascii="Times New Roman" w:hAnsi="Times New Roman"/>
                <w:b w:val="0"/>
                <w:sz w:val="24"/>
              </w:rPr>
              <w:t>W3</w:t>
            </w:r>
          </w:p>
        </w:tc>
        <w:tc>
          <w:tcPr>
            <w:tcW w:type="dxa" w:w="3230"/>
          </w:tcPr>
          <w:p>
            <w:pPr>
              <w:spacing w:after="0" w:line="240" w:lineRule="auto"/>
              <w:jc w:val="center"/>
            </w:pPr>
            <w:r/>
            <w:r>
              <w:rPr>
                <w:rFonts w:ascii="Times New Roman" w:hAnsi="Times New Roman"/>
                <w:b w:val="0"/>
                <w:sz w:val="24"/>
              </w:rPr>
              <w:t>Сборы, продавцы, семейные круги</w:t>
            </w:r>
          </w:p>
        </w:tc>
        <w:tc>
          <w:tcPr>
            <w:tcW w:type="dxa" w:w="3230"/>
          </w:tcPr>
          <w:p>
            <w:pPr>
              <w:spacing w:after="0" w:line="240" w:lineRule="auto"/>
              <w:jc w:val="center"/>
            </w:pPr>
            <w:r/>
            <w:r>
              <w:rPr>
                <w:rFonts w:ascii="Times New Roman" w:hAnsi="Times New Roman"/>
                <w:b w:val="0"/>
                <w:sz w:val="24"/>
              </w:rPr>
              <w:t>Негативы той же формы, что и мошенники</w:t>
            </w:r>
          </w:p>
        </w:tc>
      </w:tr>
      <w:tr>
        <w:tc>
          <w:tcPr>
            <w:tcW w:type="dxa" w:w="3230"/>
          </w:tcPr>
          <w:p>
            <w:pPr>
              <w:spacing w:after="0" w:line="240" w:lineRule="auto"/>
              <w:jc w:val="left"/>
            </w:pPr>
            <w:r/>
            <w:r>
              <w:rPr>
                <w:rFonts w:ascii="Times New Roman" w:hAnsi="Times New Roman"/>
                <w:b w:val="0"/>
                <w:sz w:val="24"/>
              </w:rPr>
              <w:t>W4</w:t>
            </w:r>
          </w:p>
        </w:tc>
        <w:tc>
          <w:tcPr>
            <w:tcW w:type="dxa" w:w="3230"/>
          </w:tcPr>
          <w:p>
            <w:pPr>
              <w:spacing w:after="0" w:line="240" w:lineRule="auto"/>
              <w:jc w:val="center"/>
            </w:pPr>
            <w:r/>
            <w:r>
              <w:rPr>
                <w:rFonts w:ascii="Times New Roman" w:hAnsi="Times New Roman"/>
                <w:b w:val="0"/>
                <w:sz w:val="24"/>
              </w:rPr>
              <w:t>Пирамиды и криптовалютные цепочки</w:t>
            </w:r>
          </w:p>
        </w:tc>
        <w:tc>
          <w:tcPr>
            <w:tcW w:type="dxa" w:w="3230"/>
          </w:tcPr>
          <w:p>
            <w:pPr>
              <w:spacing w:after="0" w:line="240" w:lineRule="auto"/>
              <w:jc w:val="center"/>
            </w:pPr>
            <w:r/>
            <w:r>
              <w:rPr>
                <w:rFonts w:ascii="Times New Roman" w:hAnsi="Times New Roman"/>
                <w:b w:val="0"/>
                <w:sz w:val="24"/>
              </w:rPr>
              <w:t>Две схемы на разных временных масштабах</w:t>
            </w:r>
          </w:p>
        </w:tc>
      </w:tr>
      <w:tr>
        <w:tc>
          <w:tcPr>
            <w:tcW w:type="dxa" w:w="3230"/>
          </w:tcPr>
          <w:p>
            <w:pPr>
              <w:spacing w:after="0" w:line="240" w:lineRule="auto"/>
              <w:jc w:val="left"/>
            </w:pPr>
            <w:r/>
            <w:r>
              <w:rPr>
                <w:rFonts w:ascii="Times New Roman" w:hAnsi="Times New Roman"/>
                <w:b w:val="0"/>
                <w:sz w:val="24"/>
              </w:rPr>
              <w:t>W5</w:t>
            </w:r>
          </w:p>
        </w:tc>
        <w:tc>
          <w:tcPr>
            <w:tcW w:type="dxa" w:w="3230"/>
          </w:tcPr>
          <w:p>
            <w:pPr>
              <w:spacing w:after="0" w:line="240" w:lineRule="auto"/>
              <w:jc w:val="center"/>
            </w:pPr>
            <w:r/>
            <w:r>
              <w:rPr>
                <w:rFonts w:ascii="Times New Roman" w:hAnsi="Times New Roman"/>
                <w:b w:val="0"/>
                <w:sz w:val="24"/>
              </w:rPr>
              <w:t>Те же, плюс уклонение организатора</w:t>
            </w:r>
          </w:p>
        </w:tc>
        <w:tc>
          <w:tcPr>
            <w:tcW w:type="dxa" w:w="3230"/>
          </w:tcPr>
          <w:p>
            <w:pPr>
              <w:spacing w:after="0" w:line="240" w:lineRule="auto"/>
              <w:jc w:val="center"/>
            </w:pPr>
            <w:r/>
            <w:r>
              <w:rPr>
                <w:rFonts w:ascii="Times New Roman" w:hAnsi="Times New Roman"/>
                <w:b w:val="0"/>
                <w:sz w:val="24"/>
              </w:rPr>
              <w:t>Цена сокрытия для каждого объекта анализа</w:t>
            </w:r>
          </w:p>
        </w:tc>
      </w:tr>
    </w:tbl>
    <w:p>
      <w:pPr>
        <w:spacing w:before="120" w:after="200"/>
        <w:jc w:val="center"/>
      </w:pPr>
      <w:r>
        <w:rPr>
          <w:rFonts w:ascii="Times New Roman" w:hAnsi="Times New Roman"/>
          <w:i/>
          <w:sz w:val="24"/>
        </w:rPr>
        <w:t>Таблица 1. Лестница миров: сложность объявлена до проведения прогонов</w:t>
      </w:r>
    </w:p>
    <w:p>
      <w:pPr>
        <w:spacing w:after="120"/>
        <w:ind w:firstLine="709"/>
        <w:jc w:val="both"/>
      </w:pPr>
      <w:r>
        <w:rPr>
          <w:rFonts w:ascii="Times New Roman" w:hAnsi="Times New Roman"/>
          <w:b w:val="0"/>
          <w:sz w:val="28"/>
        </w:rPr>
        <w:t>Первая версия лестницы была построена иначе: на лёгких ступенях честные популяции просто отключались. Полученный мир на 96 % состоял из мошенников, что дало ROC-AUC, равный единице, и бессмысленные операционные метрики. Лестница измеряла дисбаланс классов и называла это сложностью. Ошибка устранена, а запрет на такое построение закреплён автоматическим тестом.</w:t>
      </w:r>
    </w:p>
    <w:p>
      <w:pPr>
        <w:pStyle w:val="Heading2"/>
        <w:keepNext/>
        <w:spacing w:before="240" w:after="200"/>
        <w:jc w:val="left"/>
      </w:pPr>
      <w:r>
        <w:rPr>
          <w:rFonts w:ascii="Times New Roman" w:hAnsi="Times New Roman"/>
          <w:b/>
          <w:sz w:val="28"/>
        </w:rPr>
        <w:t>3.3 Результаты измерений</w:t>
      </w:r>
    </w:p>
    <w:p>
      <w:pPr>
        <w:spacing w:after="120"/>
        <w:ind w:firstLine="709"/>
        <w:jc w:val="both"/>
      </w:pPr>
      <w:r>
        <w:rPr>
          <w:rFonts w:ascii="Times New Roman" w:hAnsi="Times New Roman"/>
          <w:b w:val="0"/>
          <w:sz w:val="28"/>
        </w:rPr>
        <w:t>Экспериментальная часть выполнена на симуляторе, порождающем мир из 330 тысяч транзакционных событий и 23 тысяч счетов, включающий восемь честных популяций, четыре популяции трудных отрицательных примеров (быстро расходующие средства, коллективные сборы, продавцы торговых площадок, семейные круги), пирамиды, дропперские кольца и криптовалютные цепочки. Все приведённые ниже величины воспроизводятся командами из репозитория проекта.</w:t>
      </w:r>
    </w:p>
    <w:p>
      <w:pPr>
        <w:spacing w:after="120"/>
        <w:ind w:firstLine="709"/>
        <w:jc w:val="both"/>
      </w:pPr>
      <w:r>
        <w:rPr>
          <w:rFonts w:ascii="Times New Roman" w:hAnsi="Times New Roman"/>
          <w:b/>
          <w:sz w:val="28"/>
        </w:rPr>
        <w:t>Результат 1. Ранжирование очереди.</w:t>
      </w:r>
      <w:r>
        <w:rPr>
          <w:rFonts w:ascii="Times New Roman" w:hAnsi="Times New Roman"/>
          <w:b w:val="0"/>
          <w:sz w:val="28"/>
        </w:rPr>
        <w:t xml:space="preserve"> На полном мире с обучением на прошлом и тестированием на последующем временном отрезке верхние 10 % ранжированного списка состоят полностью из настоящих дропперов, что составляет 40 % всех дропперов выборки. В конвейерном режиме, где порог отбора выбирается по прошлым отрезкам и применяется к отрезку, который модель не видела, система выдала 31 дело, из которых настоящими оказались все 31, что покрыло 48 % дропперов этого отрезка.</w:t>
      </w:r>
    </w:p>
    <w:p>
      <w:pPr>
        <w:spacing w:after="120"/>
        <w:ind w:firstLine="709"/>
        <w:jc w:val="both"/>
      </w:pPr>
      <w:r>
        <w:rPr>
          <w:rFonts w:ascii="Times New Roman" w:hAnsi="Times New Roman"/>
          <w:b/>
          <w:sz w:val="28"/>
        </w:rPr>
        <w:t>Результат 2. Поведение на лестнице миров.</w:t>
      </w:r>
      <w:r>
        <w:rPr>
          <w:rFonts w:ascii="Times New Roman" w:hAnsi="Times New Roman"/>
          <w:b w:val="0"/>
          <w:sz w:val="28"/>
        </w:rPr>
        <w:t xml:space="preserve"> Значения ROC-AUC по двум объектам анализа приведены в таблице 2. Групповой уровень превосходит счётный на всех ступенях, где он вообще способен что-либо предложить, а на пятой ступени его показатель отсутствует: процедура поиска не предлагает ни одной группы, для которой выполнялось бы условие покрытия.</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0" w:line="240" w:lineRule="auto"/>
              <w:jc w:val="center"/>
            </w:pPr>
            <w:r/>
            <w:r>
              <w:rPr>
                <w:rFonts w:ascii="Times New Roman" w:hAnsi="Times New Roman"/>
                <w:b/>
                <w:sz w:val="24"/>
              </w:rPr>
              <w:t>Мир</w:t>
            </w:r>
          </w:p>
        </w:tc>
        <w:tc>
          <w:tcPr>
            <w:tcW w:type="dxa" w:w="3230"/>
          </w:tcPr>
          <w:p>
            <w:pPr>
              <w:spacing w:after="0" w:line="240" w:lineRule="auto"/>
              <w:jc w:val="center"/>
            </w:pPr>
            <w:r/>
            <w:r>
              <w:rPr>
                <w:rFonts w:ascii="Times New Roman" w:hAnsi="Times New Roman"/>
                <w:b/>
                <w:sz w:val="24"/>
              </w:rPr>
              <w:t>Счётный уровень</w:t>
            </w:r>
          </w:p>
        </w:tc>
        <w:tc>
          <w:tcPr>
            <w:tcW w:type="dxa" w:w="3230"/>
          </w:tcPr>
          <w:p>
            <w:pPr>
              <w:spacing w:after="0" w:line="240" w:lineRule="auto"/>
              <w:jc w:val="center"/>
            </w:pPr>
            <w:r/>
            <w:r>
              <w:rPr>
                <w:rFonts w:ascii="Times New Roman" w:hAnsi="Times New Roman"/>
                <w:b/>
                <w:sz w:val="24"/>
              </w:rPr>
              <w:t>Групповой уровень</w:t>
            </w:r>
          </w:p>
        </w:tc>
      </w:tr>
      <w:tr>
        <w:tc>
          <w:tcPr>
            <w:tcW w:type="dxa" w:w="3230"/>
          </w:tcPr>
          <w:p>
            <w:pPr>
              <w:spacing w:after="0" w:line="240" w:lineRule="auto"/>
              <w:jc w:val="left"/>
            </w:pPr>
            <w:r/>
            <w:r>
              <w:rPr>
                <w:rFonts w:ascii="Times New Roman" w:hAnsi="Times New Roman"/>
                <w:b w:val="0"/>
                <w:sz w:val="24"/>
              </w:rPr>
              <w:t>W1</w:t>
            </w:r>
          </w:p>
        </w:tc>
        <w:tc>
          <w:tcPr>
            <w:tcW w:type="dxa" w:w="3230"/>
          </w:tcPr>
          <w:p>
            <w:pPr>
              <w:spacing w:after="0" w:line="240" w:lineRule="auto"/>
              <w:jc w:val="center"/>
            </w:pPr>
            <w:r/>
            <w:r>
              <w:rPr>
                <w:rFonts w:ascii="Times New Roman" w:hAnsi="Times New Roman"/>
                <w:b w:val="0"/>
                <w:sz w:val="24"/>
              </w:rPr>
              <w:t>0,955</w:t>
            </w:r>
          </w:p>
        </w:tc>
        <w:tc>
          <w:tcPr>
            <w:tcW w:type="dxa" w:w="3230"/>
          </w:tcPr>
          <w:p>
            <w:pPr>
              <w:spacing w:after="0" w:line="240" w:lineRule="auto"/>
              <w:jc w:val="center"/>
            </w:pPr>
            <w:r/>
            <w:r>
              <w:rPr>
                <w:rFonts w:ascii="Times New Roman" w:hAnsi="Times New Roman"/>
                <w:b w:val="0"/>
                <w:sz w:val="24"/>
              </w:rPr>
              <w:t>0,990</w:t>
            </w:r>
          </w:p>
        </w:tc>
      </w:tr>
      <w:tr>
        <w:tc>
          <w:tcPr>
            <w:tcW w:type="dxa" w:w="3230"/>
          </w:tcPr>
          <w:p>
            <w:pPr>
              <w:spacing w:after="0" w:line="240" w:lineRule="auto"/>
              <w:jc w:val="left"/>
            </w:pPr>
            <w:r/>
            <w:r>
              <w:rPr>
                <w:rFonts w:ascii="Times New Roman" w:hAnsi="Times New Roman"/>
                <w:b w:val="0"/>
                <w:sz w:val="24"/>
              </w:rPr>
              <w:t>W2</w:t>
            </w:r>
          </w:p>
        </w:tc>
        <w:tc>
          <w:tcPr>
            <w:tcW w:type="dxa" w:w="3230"/>
          </w:tcPr>
          <w:p>
            <w:pPr>
              <w:spacing w:after="0" w:line="240" w:lineRule="auto"/>
              <w:jc w:val="center"/>
            </w:pPr>
            <w:r/>
            <w:r>
              <w:rPr>
                <w:rFonts w:ascii="Times New Roman" w:hAnsi="Times New Roman"/>
                <w:b w:val="0"/>
                <w:sz w:val="24"/>
              </w:rPr>
              <w:t>0,941</w:t>
            </w:r>
          </w:p>
        </w:tc>
        <w:tc>
          <w:tcPr>
            <w:tcW w:type="dxa" w:w="3230"/>
          </w:tcPr>
          <w:p>
            <w:pPr>
              <w:spacing w:after="0" w:line="240" w:lineRule="auto"/>
              <w:jc w:val="center"/>
            </w:pPr>
            <w:r/>
            <w:r>
              <w:rPr>
                <w:rFonts w:ascii="Times New Roman" w:hAnsi="Times New Roman"/>
                <w:b w:val="0"/>
                <w:sz w:val="24"/>
              </w:rPr>
              <w:t>0,994</w:t>
            </w:r>
          </w:p>
        </w:tc>
      </w:tr>
      <w:tr>
        <w:tc>
          <w:tcPr>
            <w:tcW w:type="dxa" w:w="3230"/>
          </w:tcPr>
          <w:p>
            <w:pPr>
              <w:spacing w:after="0" w:line="240" w:lineRule="auto"/>
              <w:jc w:val="left"/>
            </w:pPr>
            <w:r/>
            <w:r>
              <w:rPr>
                <w:rFonts w:ascii="Times New Roman" w:hAnsi="Times New Roman"/>
                <w:b w:val="0"/>
                <w:sz w:val="24"/>
              </w:rPr>
              <w:t>W3</w:t>
            </w:r>
          </w:p>
        </w:tc>
        <w:tc>
          <w:tcPr>
            <w:tcW w:type="dxa" w:w="3230"/>
          </w:tcPr>
          <w:p>
            <w:pPr>
              <w:spacing w:after="0" w:line="240" w:lineRule="auto"/>
              <w:jc w:val="center"/>
            </w:pPr>
            <w:r/>
            <w:r>
              <w:rPr>
                <w:rFonts w:ascii="Times New Roman" w:hAnsi="Times New Roman"/>
                <w:b w:val="0"/>
                <w:sz w:val="24"/>
              </w:rPr>
              <w:t>0,923</w:t>
            </w:r>
          </w:p>
        </w:tc>
        <w:tc>
          <w:tcPr>
            <w:tcW w:type="dxa" w:w="3230"/>
          </w:tcPr>
          <w:p>
            <w:pPr>
              <w:spacing w:after="0" w:line="240" w:lineRule="auto"/>
              <w:jc w:val="center"/>
            </w:pPr>
            <w:r/>
            <w:r>
              <w:rPr>
                <w:rFonts w:ascii="Times New Roman" w:hAnsi="Times New Roman"/>
                <w:b w:val="0"/>
                <w:sz w:val="24"/>
              </w:rPr>
              <w:t>0,9996</w:t>
            </w:r>
          </w:p>
        </w:tc>
      </w:tr>
      <w:tr>
        <w:tc>
          <w:tcPr>
            <w:tcW w:type="dxa" w:w="3230"/>
          </w:tcPr>
          <w:p>
            <w:pPr>
              <w:spacing w:after="0" w:line="240" w:lineRule="auto"/>
              <w:jc w:val="left"/>
            </w:pPr>
            <w:r/>
            <w:r>
              <w:rPr>
                <w:rFonts w:ascii="Times New Roman" w:hAnsi="Times New Roman"/>
                <w:b w:val="0"/>
                <w:sz w:val="24"/>
              </w:rPr>
              <w:t>W4</w:t>
            </w:r>
          </w:p>
        </w:tc>
        <w:tc>
          <w:tcPr>
            <w:tcW w:type="dxa" w:w="3230"/>
          </w:tcPr>
          <w:p>
            <w:pPr>
              <w:spacing w:after="0" w:line="240" w:lineRule="auto"/>
              <w:jc w:val="center"/>
            </w:pPr>
            <w:r/>
            <w:r>
              <w:rPr>
                <w:rFonts w:ascii="Times New Roman" w:hAnsi="Times New Roman"/>
                <w:b w:val="0"/>
                <w:sz w:val="24"/>
              </w:rPr>
              <w:t>0,950</w:t>
            </w:r>
          </w:p>
        </w:tc>
        <w:tc>
          <w:tcPr>
            <w:tcW w:type="dxa" w:w="3230"/>
          </w:tcPr>
          <w:p>
            <w:pPr>
              <w:spacing w:after="0" w:line="240" w:lineRule="auto"/>
              <w:jc w:val="center"/>
            </w:pPr>
            <w:r/>
            <w:r>
              <w:rPr>
                <w:rFonts w:ascii="Times New Roman" w:hAnsi="Times New Roman"/>
                <w:b w:val="0"/>
                <w:sz w:val="24"/>
              </w:rPr>
              <w:t>0,9997</w:t>
            </w:r>
          </w:p>
        </w:tc>
      </w:tr>
      <w:tr>
        <w:tc>
          <w:tcPr>
            <w:tcW w:type="dxa" w:w="3230"/>
          </w:tcPr>
          <w:p>
            <w:pPr>
              <w:spacing w:after="0" w:line="240" w:lineRule="auto"/>
              <w:jc w:val="left"/>
            </w:pPr>
            <w:r/>
            <w:r>
              <w:rPr>
                <w:rFonts w:ascii="Times New Roman" w:hAnsi="Times New Roman"/>
                <w:b w:val="0"/>
                <w:sz w:val="24"/>
              </w:rPr>
              <w:t>W5 (уклонение)</w:t>
            </w:r>
          </w:p>
        </w:tc>
        <w:tc>
          <w:tcPr>
            <w:tcW w:type="dxa" w:w="3230"/>
          </w:tcPr>
          <w:p>
            <w:pPr>
              <w:spacing w:after="0" w:line="240" w:lineRule="auto"/>
              <w:jc w:val="center"/>
            </w:pPr>
            <w:r/>
            <w:r>
              <w:rPr>
                <w:rFonts w:ascii="Times New Roman" w:hAnsi="Times New Roman"/>
                <w:b w:val="0"/>
                <w:sz w:val="24"/>
              </w:rPr>
              <w:t>0,966</w:t>
            </w:r>
          </w:p>
        </w:tc>
        <w:tc>
          <w:tcPr>
            <w:tcW w:type="dxa" w:w="3230"/>
          </w:tcPr>
          <w:p>
            <w:pPr>
              <w:spacing w:after="0" w:line="240" w:lineRule="auto"/>
              <w:jc w:val="center"/>
            </w:pPr>
            <w:r/>
            <w:r>
              <w:rPr>
                <w:rFonts w:ascii="Times New Roman" w:hAnsi="Times New Roman"/>
                <w:b w:val="0"/>
                <w:sz w:val="24"/>
              </w:rPr>
              <w:t>оценка отсутствует</w:t>
            </w:r>
          </w:p>
        </w:tc>
      </w:tr>
    </w:tbl>
    <w:p>
      <w:pPr>
        <w:spacing w:before="120" w:after="200"/>
        <w:jc w:val="center"/>
      </w:pPr>
      <w:r>
        <w:rPr>
          <w:rFonts w:ascii="Times New Roman" w:hAnsi="Times New Roman"/>
          <w:i/>
          <w:sz w:val="24"/>
        </w:rPr>
        <w:t>Таблица 2. Показатель ROC-AUC по ступеням лестницы, среднее по трём запускам</w:t>
      </w:r>
    </w:p>
    <w:p>
      <w:pPr>
        <w:jc w:val="center"/>
      </w:pPr>
      <w:r>
        <w:drawing>
          <wp:inline xmlns:a="http://schemas.openxmlformats.org/drawingml/2006/main" xmlns:pic="http://schemas.openxmlformats.org/drawingml/2006/picture">
            <wp:extent cx="5760000" cy="3992475"/>
            <wp:docPr id="2" name="Picture 2"/>
            <wp:cNvGraphicFramePr>
              <a:graphicFrameLocks noChangeAspect="1"/>
            </wp:cNvGraphicFramePr>
            <a:graphic>
              <a:graphicData uri="http://schemas.openxmlformats.org/drawingml/2006/picture">
                <pic:pic>
                  <pic:nvPicPr>
                    <pic:cNvPr id="0" name="ladder.png"/>
                    <pic:cNvPicPr/>
                  </pic:nvPicPr>
                  <pic:blipFill>
                    <a:blip r:embed="rId11"/>
                    <a:stretch>
                      <a:fillRect/>
                    </a:stretch>
                  </pic:blipFill>
                  <pic:spPr>
                    <a:xfrm>
                      <a:off x="0" y="0"/>
                      <a:ext cx="5760000" cy="3992475"/>
                    </a:xfrm>
                    <a:prstGeom prst="rect"/>
                  </pic:spPr>
                </pic:pic>
              </a:graphicData>
            </a:graphic>
          </wp:inline>
        </w:drawing>
      </w:r>
    </w:p>
    <w:p>
      <w:pPr>
        <w:spacing w:before="80" w:after="200"/>
        <w:jc w:val="center"/>
      </w:pPr>
      <w:r>
        <w:rPr>
          <w:rFonts w:ascii="Times New Roman" w:hAnsi="Times New Roman"/>
          <w:i/>
          <w:sz w:val="24"/>
        </w:rPr>
        <w:t>Рисунок 2. Поведение двух объектов анализа на пяти ступенях сложности мира. На пятой ступени у группового уровня оценка отсутствует.</w:t>
      </w:r>
    </w:p>
    <w:p>
      <w:pPr>
        <w:spacing w:after="120"/>
        <w:ind w:firstLine="709"/>
        <w:jc w:val="both"/>
      </w:pPr>
      <w:r>
        <w:rPr>
          <w:rFonts w:ascii="Times New Roman" w:hAnsi="Times New Roman"/>
          <w:b w:val="0"/>
          <w:sz w:val="28"/>
        </w:rPr>
        <w:t xml:space="preserve">Отсутствие оценки на пятой ступени было проверено отдельно, поскольку нулевое покрытие является характерной формой ошибки измерения. Измерение распределения перекрытий показало: медиана наибольшего перекрытия одной группы одним кандидатом падает с 1,000 до 0,000, а доля групп, для которых хотя бы десятая часть участников попала в одного кандидата, снижается со 100 % до 31 %. Следовательно, речь идёт не о фрагментации найденных групп, а о полной потере связности — </w:t>
      </w:r>
      <w:r>
        <w:rPr>
          <w:rFonts w:ascii="Times New Roman" w:hAnsi="Times New Roman"/>
          <w:b/>
          <w:sz w:val="28"/>
        </w:rPr>
        <w:t>система не ошибается, она слепнет</w:t>
      </w:r>
      <w:r>
        <w:rPr>
          <w:rFonts w:ascii="Times New Roman" w:hAnsi="Times New Roman"/>
          <w:b w:val="0"/>
          <w:sz w:val="28"/>
        </w:rPr>
        <w:t>.</w:t>
      </w:r>
    </w:p>
    <w:p>
      <w:pPr>
        <w:spacing w:after="120"/>
        <w:ind w:firstLine="709"/>
        <w:jc w:val="both"/>
      </w:pPr>
      <w:r>
        <w:rPr>
          <w:rFonts w:ascii="Times New Roman" w:hAnsi="Times New Roman"/>
          <w:b/>
          <w:sz w:val="28"/>
        </w:rPr>
        <w:t>Результат 3. Поведение при реальной редкости мошенничества.</w:t>
      </w:r>
      <w:r>
        <w:rPr>
          <w:rFonts w:ascii="Times New Roman" w:hAnsi="Times New Roman"/>
          <w:b w:val="0"/>
          <w:sz w:val="28"/>
        </w:rPr>
        <w:t xml:space="preserve"> Это центральный результат работы. Все опубликованные в предметной области метрики качества, включая приводимые в настоящей работе, получены на выборках, где доля мошенников составляет проценты, тогда как в национальной платёжной системе она составляет доли процента. Для измерения этого эффекта построен мир, собственная доля мошенников в котором совпадает с опубликованной долей инцидентов с дропперами (6,87 %), после чего мошенники прореживаются случайным образом </w:t>
      </w:r>
      <w:r>
        <w:rPr>
          <w:rFonts w:ascii="Times New Roman" w:hAnsi="Times New Roman"/>
          <w:b/>
          <w:sz w:val="28"/>
        </w:rPr>
        <w:t>до</w:t>
      </w:r>
      <w:r>
        <w:rPr>
          <w:rFonts w:ascii="Times New Roman" w:hAnsi="Times New Roman"/>
          <w:b w:val="0"/>
          <w:sz w:val="28"/>
        </w:rPr>
        <w:t xml:space="preserve"> разбиения на обучение и тест, так что модель и обучается, и проверяется при заданной редкости (таблица 3).</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after="0" w:line="240" w:lineRule="auto"/>
              <w:jc w:val="center"/>
            </w:pPr>
            <w:r/>
            <w:r>
              <w:rPr>
                <w:rFonts w:ascii="Times New Roman" w:hAnsi="Times New Roman"/>
                <w:b/>
                <w:sz w:val="24"/>
              </w:rPr>
              <w:t>Доля мошенников</w:t>
            </w:r>
          </w:p>
        </w:tc>
        <w:tc>
          <w:tcPr>
            <w:tcW w:type="dxa" w:w="1938"/>
          </w:tcPr>
          <w:p>
            <w:pPr>
              <w:spacing w:after="0" w:line="240" w:lineRule="auto"/>
              <w:jc w:val="center"/>
            </w:pPr>
            <w:r/>
            <w:r>
              <w:rPr>
                <w:rFonts w:ascii="Times New Roman" w:hAnsi="Times New Roman"/>
                <w:b/>
                <w:sz w:val="24"/>
              </w:rPr>
              <w:t>Их число в выборке</w:t>
            </w:r>
          </w:p>
        </w:tc>
        <w:tc>
          <w:tcPr>
            <w:tcW w:type="dxa" w:w="1938"/>
          </w:tcPr>
          <w:p>
            <w:pPr>
              <w:spacing w:after="0" w:line="240" w:lineRule="auto"/>
              <w:jc w:val="center"/>
            </w:pPr>
            <w:r/>
            <w:r>
              <w:rPr>
                <w:rFonts w:ascii="Times New Roman" w:hAnsi="Times New Roman"/>
                <w:b/>
                <w:sz w:val="24"/>
              </w:rPr>
              <w:t>ROC-AUC</w:t>
            </w:r>
          </w:p>
        </w:tc>
        <w:tc>
          <w:tcPr>
            <w:tcW w:type="dxa" w:w="1938"/>
          </w:tcPr>
          <w:p>
            <w:pPr>
              <w:spacing w:after="0" w:line="240" w:lineRule="auto"/>
              <w:jc w:val="center"/>
            </w:pPr>
            <w:r/>
            <w:r>
              <w:rPr>
                <w:rFonts w:ascii="Times New Roman" w:hAnsi="Times New Roman"/>
                <w:b/>
                <w:sz w:val="24"/>
              </w:rPr>
              <w:t>Доля настоящих в верхних 10 %</w:t>
            </w:r>
          </w:p>
        </w:tc>
        <w:tc>
          <w:tcPr>
            <w:tcW w:type="dxa" w:w="1938"/>
          </w:tcPr>
          <w:p>
            <w:pPr>
              <w:spacing w:after="0" w:line="240" w:lineRule="auto"/>
              <w:jc w:val="center"/>
            </w:pPr>
            <w:r/>
            <w:r>
              <w:rPr>
                <w:rFonts w:ascii="Times New Roman" w:hAnsi="Times New Roman"/>
                <w:b/>
                <w:sz w:val="24"/>
              </w:rPr>
              <w:t>Проверок на одну находку</w:t>
            </w:r>
          </w:p>
        </w:tc>
      </w:tr>
      <w:tr>
        <w:tc>
          <w:tcPr>
            <w:tcW w:type="dxa" w:w="1938"/>
          </w:tcPr>
          <w:p>
            <w:pPr>
              <w:spacing w:after="0" w:line="240" w:lineRule="auto"/>
              <w:jc w:val="left"/>
            </w:pPr>
            <w:r/>
            <w:r>
              <w:rPr>
                <w:rFonts w:ascii="Times New Roman" w:hAnsi="Times New Roman"/>
                <w:b w:val="0"/>
                <w:sz w:val="24"/>
              </w:rPr>
              <w:t>6,9 %</w:t>
            </w:r>
          </w:p>
        </w:tc>
        <w:tc>
          <w:tcPr>
            <w:tcW w:type="dxa" w:w="1938"/>
          </w:tcPr>
          <w:p>
            <w:pPr>
              <w:spacing w:after="0" w:line="240" w:lineRule="auto"/>
              <w:jc w:val="center"/>
            </w:pPr>
            <w:r/>
            <w:r>
              <w:rPr>
                <w:rFonts w:ascii="Times New Roman" w:hAnsi="Times New Roman"/>
                <w:b w:val="0"/>
                <w:sz w:val="24"/>
              </w:rPr>
              <w:t>950</w:t>
            </w:r>
          </w:p>
        </w:tc>
        <w:tc>
          <w:tcPr>
            <w:tcW w:type="dxa" w:w="1938"/>
          </w:tcPr>
          <w:p>
            <w:pPr>
              <w:spacing w:after="0" w:line="240" w:lineRule="auto"/>
              <w:jc w:val="center"/>
            </w:pPr>
            <w:r/>
            <w:r>
              <w:rPr>
                <w:rFonts w:ascii="Times New Roman" w:hAnsi="Times New Roman"/>
                <w:b w:val="0"/>
                <w:sz w:val="24"/>
              </w:rPr>
              <w:t>0,957</w:t>
            </w:r>
          </w:p>
        </w:tc>
        <w:tc>
          <w:tcPr>
            <w:tcW w:type="dxa" w:w="1938"/>
          </w:tcPr>
          <w:p>
            <w:pPr>
              <w:spacing w:after="0" w:line="240" w:lineRule="auto"/>
              <w:jc w:val="center"/>
            </w:pPr>
            <w:r/>
            <w:r>
              <w:rPr>
                <w:rFonts w:ascii="Times New Roman" w:hAnsi="Times New Roman"/>
                <w:b w:val="0"/>
                <w:sz w:val="24"/>
              </w:rPr>
              <w:t>50 %</w:t>
            </w:r>
          </w:p>
        </w:tc>
        <w:tc>
          <w:tcPr>
            <w:tcW w:type="dxa" w:w="1938"/>
          </w:tcPr>
          <w:p>
            <w:pPr>
              <w:spacing w:after="0" w:line="240" w:lineRule="auto"/>
              <w:jc w:val="center"/>
            </w:pPr>
            <w:r/>
            <w:r>
              <w:rPr>
                <w:rFonts w:ascii="Times New Roman" w:hAnsi="Times New Roman"/>
                <w:b w:val="0"/>
                <w:sz w:val="24"/>
              </w:rPr>
              <w:t>2</w:t>
            </w:r>
          </w:p>
        </w:tc>
      </w:tr>
      <w:tr>
        <w:tc>
          <w:tcPr>
            <w:tcW w:type="dxa" w:w="1938"/>
          </w:tcPr>
          <w:p>
            <w:pPr>
              <w:spacing w:after="0" w:line="240" w:lineRule="auto"/>
              <w:jc w:val="left"/>
            </w:pPr>
            <w:r/>
            <w:r>
              <w:rPr>
                <w:rFonts w:ascii="Times New Roman" w:hAnsi="Times New Roman"/>
                <w:b w:val="0"/>
                <w:sz w:val="24"/>
              </w:rPr>
              <w:t>1,0 %</w:t>
            </w:r>
          </w:p>
        </w:tc>
        <w:tc>
          <w:tcPr>
            <w:tcW w:type="dxa" w:w="1938"/>
          </w:tcPr>
          <w:p>
            <w:pPr>
              <w:spacing w:after="0" w:line="240" w:lineRule="auto"/>
              <w:jc w:val="center"/>
            </w:pPr>
            <w:r/>
            <w:r>
              <w:rPr>
                <w:rFonts w:ascii="Times New Roman" w:hAnsi="Times New Roman"/>
                <w:b w:val="0"/>
                <w:sz w:val="24"/>
              </w:rPr>
              <w:t>126</w:t>
            </w:r>
          </w:p>
        </w:tc>
        <w:tc>
          <w:tcPr>
            <w:tcW w:type="dxa" w:w="1938"/>
          </w:tcPr>
          <w:p>
            <w:pPr>
              <w:spacing w:after="0" w:line="240" w:lineRule="auto"/>
              <w:jc w:val="center"/>
            </w:pPr>
            <w:r/>
            <w:r>
              <w:rPr>
                <w:rFonts w:ascii="Times New Roman" w:hAnsi="Times New Roman"/>
                <w:b w:val="0"/>
                <w:sz w:val="24"/>
              </w:rPr>
              <w:t>0,933</w:t>
            </w:r>
          </w:p>
        </w:tc>
        <w:tc>
          <w:tcPr>
            <w:tcW w:type="dxa" w:w="1938"/>
          </w:tcPr>
          <w:p>
            <w:pPr>
              <w:spacing w:after="0" w:line="240" w:lineRule="auto"/>
              <w:jc w:val="center"/>
            </w:pPr>
            <w:r/>
            <w:r>
              <w:rPr>
                <w:rFonts w:ascii="Times New Roman" w:hAnsi="Times New Roman"/>
                <w:b w:val="0"/>
                <w:sz w:val="24"/>
              </w:rPr>
              <w:t>6,6 %</w:t>
            </w:r>
          </w:p>
        </w:tc>
        <w:tc>
          <w:tcPr>
            <w:tcW w:type="dxa" w:w="1938"/>
          </w:tcPr>
          <w:p>
            <w:pPr>
              <w:spacing w:after="0" w:line="240" w:lineRule="auto"/>
              <w:jc w:val="center"/>
            </w:pPr>
            <w:r/>
            <w:r>
              <w:rPr>
                <w:rFonts w:ascii="Times New Roman" w:hAnsi="Times New Roman"/>
                <w:b w:val="0"/>
                <w:sz w:val="24"/>
              </w:rPr>
              <w:t>15</w:t>
            </w:r>
          </w:p>
        </w:tc>
      </w:tr>
      <w:tr>
        <w:tc>
          <w:tcPr>
            <w:tcW w:type="dxa" w:w="1938"/>
          </w:tcPr>
          <w:p>
            <w:pPr>
              <w:spacing w:after="0" w:line="240" w:lineRule="auto"/>
              <w:jc w:val="left"/>
            </w:pPr>
            <w:r/>
            <w:r>
              <w:rPr>
                <w:rFonts w:ascii="Times New Roman" w:hAnsi="Times New Roman"/>
                <w:b w:val="0"/>
                <w:sz w:val="24"/>
              </w:rPr>
              <w:t>0,5 %</w:t>
            </w:r>
          </w:p>
        </w:tc>
        <w:tc>
          <w:tcPr>
            <w:tcW w:type="dxa" w:w="1938"/>
          </w:tcPr>
          <w:p>
            <w:pPr>
              <w:spacing w:after="0" w:line="240" w:lineRule="auto"/>
              <w:jc w:val="center"/>
            </w:pPr>
            <w:r/>
            <w:r>
              <w:rPr>
                <w:rFonts w:ascii="Times New Roman" w:hAnsi="Times New Roman"/>
                <w:b w:val="0"/>
                <w:sz w:val="24"/>
              </w:rPr>
              <w:t>63</w:t>
            </w:r>
          </w:p>
        </w:tc>
        <w:tc>
          <w:tcPr>
            <w:tcW w:type="dxa" w:w="1938"/>
          </w:tcPr>
          <w:p>
            <w:pPr>
              <w:spacing w:after="0" w:line="240" w:lineRule="auto"/>
              <w:jc w:val="center"/>
            </w:pPr>
            <w:r/>
            <w:r>
              <w:rPr>
                <w:rFonts w:ascii="Times New Roman" w:hAnsi="Times New Roman"/>
                <w:b w:val="0"/>
                <w:sz w:val="24"/>
              </w:rPr>
              <w:t>0,949</w:t>
            </w:r>
          </w:p>
        </w:tc>
        <w:tc>
          <w:tcPr>
            <w:tcW w:type="dxa" w:w="1938"/>
          </w:tcPr>
          <w:p>
            <w:pPr>
              <w:spacing w:after="0" w:line="240" w:lineRule="auto"/>
              <w:jc w:val="center"/>
            </w:pPr>
            <w:r/>
            <w:r>
              <w:rPr>
                <w:rFonts w:ascii="Times New Roman" w:hAnsi="Times New Roman"/>
                <w:b w:val="0"/>
                <w:sz w:val="24"/>
              </w:rPr>
              <w:t>3,3 %</w:t>
            </w:r>
          </w:p>
        </w:tc>
        <w:tc>
          <w:tcPr>
            <w:tcW w:type="dxa" w:w="1938"/>
          </w:tcPr>
          <w:p>
            <w:pPr>
              <w:spacing w:after="0" w:line="240" w:lineRule="auto"/>
              <w:jc w:val="center"/>
            </w:pPr>
            <w:r/>
            <w:r>
              <w:rPr>
                <w:rFonts w:ascii="Times New Roman" w:hAnsi="Times New Roman"/>
                <w:b w:val="0"/>
                <w:sz w:val="24"/>
              </w:rPr>
              <w:t>33</w:t>
            </w:r>
          </w:p>
        </w:tc>
      </w:tr>
      <w:tr>
        <w:tc>
          <w:tcPr>
            <w:tcW w:type="dxa" w:w="1938"/>
          </w:tcPr>
          <w:p>
            <w:pPr>
              <w:spacing w:after="0" w:line="240" w:lineRule="auto"/>
              <w:jc w:val="left"/>
            </w:pPr>
            <w:r/>
            <w:r>
              <w:rPr>
                <w:rFonts w:ascii="Times New Roman" w:hAnsi="Times New Roman"/>
                <w:b w:val="0"/>
                <w:sz w:val="24"/>
              </w:rPr>
              <w:t>0,1 %</w:t>
            </w:r>
          </w:p>
        </w:tc>
        <w:tc>
          <w:tcPr>
            <w:tcW w:type="dxa" w:w="1938"/>
          </w:tcPr>
          <w:p>
            <w:pPr>
              <w:spacing w:after="0" w:line="240" w:lineRule="auto"/>
              <w:jc w:val="center"/>
            </w:pPr>
            <w:r/>
            <w:r>
              <w:rPr>
                <w:rFonts w:ascii="Times New Roman" w:hAnsi="Times New Roman"/>
                <w:b w:val="0"/>
                <w:sz w:val="24"/>
              </w:rPr>
              <w:t>13</w:t>
            </w:r>
          </w:p>
        </w:tc>
        <w:tc>
          <w:tcPr>
            <w:tcW w:type="dxa" w:w="1938"/>
          </w:tcPr>
          <w:p>
            <w:pPr>
              <w:spacing w:after="0" w:line="240" w:lineRule="auto"/>
              <w:jc w:val="center"/>
            </w:pPr>
            <w:r/>
            <w:r>
              <w:rPr>
                <w:rFonts w:ascii="Times New Roman" w:hAnsi="Times New Roman"/>
                <w:b w:val="0"/>
                <w:sz w:val="24"/>
              </w:rPr>
              <w:t>0,894</w:t>
            </w:r>
          </w:p>
        </w:tc>
        <w:tc>
          <w:tcPr>
            <w:tcW w:type="dxa" w:w="1938"/>
          </w:tcPr>
          <w:p>
            <w:pPr>
              <w:spacing w:after="0" w:line="240" w:lineRule="auto"/>
              <w:jc w:val="center"/>
            </w:pPr>
            <w:r/>
            <w:r>
              <w:rPr>
                <w:rFonts w:ascii="Times New Roman" w:hAnsi="Times New Roman"/>
                <w:b w:val="0"/>
                <w:sz w:val="24"/>
              </w:rPr>
              <w:t>0,7 %</w:t>
            </w:r>
          </w:p>
        </w:tc>
        <w:tc>
          <w:tcPr>
            <w:tcW w:type="dxa" w:w="1938"/>
          </w:tcPr>
          <w:p>
            <w:pPr>
              <w:spacing w:after="0" w:line="240" w:lineRule="auto"/>
              <w:jc w:val="center"/>
            </w:pPr>
            <w:r/>
            <w:r>
              <w:rPr>
                <w:rFonts w:ascii="Times New Roman" w:hAnsi="Times New Roman"/>
                <w:b w:val="0"/>
                <w:sz w:val="24"/>
              </w:rPr>
              <w:t>160</w:t>
            </w:r>
          </w:p>
        </w:tc>
      </w:tr>
    </w:tbl>
    <w:p>
      <w:pPr>
        <w:spacing w:before="120" w:after="200"/>
        <w:jc w:val="center"/>
      </w:pPr>
      <w:r>
        <w:rPr>
          <w:rFonts w:ascii="Times New Roman" w:hAnsi="Times New Roman"/>
          <w:i/>
          <w:sz w:val="24"/>
        </w:rPr>
        <w:t>Таблица 3. Работа детектора при разной доле мошенников, среднее по трём запускам</w:t>
      </w:r>
    </w:p>
    <w:p>
      <w:pPr>
        <w:jc w:val="center"/>
      </w:pPr>
      <w:r>
        <w:drawing>
          <wp:inline xmlns:a="http://schemas.openxmlformats.org/drawingml/2006/main" xmlns:pic="http://schemas.openxmlformats.org/drawingml/2006/picture">
            <wp:extent cx="5760000" cy="4742993"/>
            <wp:docPr id="3" name="Picture 3"/>
            <wp:cNvGraphicFramePr>
              <a:graphicFrameLocks noChangeAspect="1"/>
            </wp:cNvGraphicFramePr>
            <a:graphic>
              <a:graphicData uri="http://schemas.openxmlformats.org/drawingml/2006/picture">
                <pic:pic>
                  <pic:nvPicPr>
                    <pic:cNvPr id="0" name="rarity.png"/>
                    <pic:cNvPicPr/>
                  </pic:nvPicPr>
                  <pic:blipFill>
                    <a:blip r:embed="rId12"/>
                    <a:stretch>
                      <a:fillRect/>
                    </a:stretch>
                  </pic:blipFill>
                  <pic:spPr>
                    <a:xfrm>
                      <a:off x="0" y="0"/>
                      <a:ext cx="5760000" cy="4742993"/>
                    </a:xfrm>
                    <a:prstGeom prst="rect"/>
                  </pic:spPr>
                </pic:pic>
              </a:graphicData>
            </a:graphic>
          </wp:inline>
        </w:drawing>
      </w:r>
    </w:p>
    <w:p>
      <w:pPr>
        <w:spacing w:before="80" w:after="200"/>
        <w:jc w:val="center"/>
      </w:pPr>
      <w:r>
        <w:rPr>
          <w:rFonts w:ascii="Times New Roman" w:hAnsi="Times New Roman"/>
          <w:i/>
          <w:sz w:val="24"/>
        </w:rPr>
        <w:t>Рисунок 3. Показатель ранжирования почти не реагирует на редкость мошенничества, тогда как операционная нагрузка растёт в восемьдесят раз.</w:t>
      </w:r>
    </w:p>
    <w:p>
      <w:pPr>
        <w:spacing w:after="120"/>
        <w:ind w:firstLine="709"/>
        <w:jc w:val="both"/>
      </w:pPr>
      <w:r>
        <w:rPr>
          <w:rFonts w:ascii="Times New Roman" w:hAnsi="Times New Roman"/>
          <w:b w:val="0"/>
          <w:sz w:val="28"/>
        </w:rPr>
        <w:t xml:space="preserve">Из таблицы следует вывод, имеющий прямое практическое значение: </w:t>
      </w:r>
      <w:r>
        <w:rPr>
          <w:rFonts w:ascii="Times New Roman" w:hAnsi="Times New Roman"/>
          <w:b/>
          <w:sz w:val="28"/>
        </w:rPr>
        <w:t>показатель ROC-AUC почти не реагирует на редкость.</w:t>
      </w:r>
      <w:r>
        <w:rPr>
          <w:rFonts w:ascii="Times New Roman" w:hAnsi="Times New Roman"/>
          <w:b w:val="0"/>
          <w:sz w:val="28"/>
        </w:rPr>
        <w:t xml:space="preserve"> При снижении доли мошенников в семьдесят раз он падает лишь с 0,957 до 0,894 — величины, которую принято считать высокой. В тот же момент операционная нагрузка на аналитика возрастает с двух проверок на одну находку до ста шестидесяти. Отсюда следует правило отчётности, принятое в работе: показатель ROC-AUC, приведённый без указания доли мошенников в выборке, не несёт содержательной информации.</w:t>
      </w:r>
    </w:p>
    <w:p>
      <w:pPr>
        <w:spacing w:after="120"/>
        <w:ind w:firstLine="709"/>
        <w:jc w:val="both"/>
      </w:pPr>
      <w:r>
        <w:rPr>
          <w:rFonts w:ascii="Times New Roman" w:hAnsi="Times New Roman"/>
          <w:b/>
          <w:sz w:val="28"/>
        </w:rPr>
        <w:t>Результат 4. Смена политики отбора дел вместо усложнения модели.</w:t>
      </w:r>
      <w:r>
        <w:rPr>
          <w:rFonts w:ascii="Times New Roman" w:hAnsi="Times New Roman"/>
          <w:b w:val="0"/>
          <w:sz w:val="28"/>
        </w:rPr>
        <w:t xml:space="preserve"> Полученная зависимость допускает точный пересчёт операционных характеристик при любой доле мошенников π по формуле точности при фиксированной чувствительности:</w:t>
      </w:r>
    </w:p>
    <w:p>
      <w:pPr>
        <w:spacing w:before="120" w:after="120"/>
        <w:jc w:val="center"/>
      </w:pPr>
      <w:r>
        <w:rPr>
          <w:rFonts w:ascii="Times New Roman" w:hAnsi="Times New Roman"/>
          <w:i/>
          <w:sz w:val="28"/>
        </w:rPr>
        <w:t>Precision = π · TPR / ( π · TPR + (1 − π) · FPR ).</w:t>
      </w:r>
    </w:p>
    <w:p>
      <w:pPr>
        <w:spacing w:after="120"/>
        <w:ind w:firstLine="709"/>
        <w:jc w:val="both"/>
      </w:pPr>
      <w:r>
        <w:rPr>
          <w:rFonts w:ascii="Times New Roman" w:hAnsi="Times New Roman"/>
          <w:b w:val="0"/>
          <w:sz w:val="28"/>
        </w:rPr>
        <w:t>Сравнение двух политик при доле мошенников 0,1 % приведено в таблице 4. Фиксированный бюджет проверки («смотрим верхние 10 % списка») расходуется практически полностью на честных клиентов. Порог, выбранный под заданную полноту, даёт качественно иной режим работы.</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0" w:line="240" w:lineRule="auto"/>
              <w:jc w:val="center"/>
            </w:pPr>
            <w:r/>
            <w:r>
              <w:rPr>
                <w:rFonts w:ascii="Times New Roman" w:hAnsi="Times New Roman"/>
                <w:b/>
                <w:sz w:val="24"/>
              </w:rPr>
              <w:t>Политика</w:t>
            </w:r>
          </w:p>
        </w:tc>
        <w:tc>
          <w:tcPr>
            <w:tcW w:type="dxa" w:w="3230"/>
          </w:tcPr>
          <w:p>
            <w:pPr>
              <w:spacing w:after="0" w:line="240" w:lineRule="auto"/>
              <w:jc w:val="center"/>
            </w:pPr>
            <w:r/>
            <w:r>
              <w:rPr>
                <w:rFonts w:ascii="Times New Roman" w:hAnsi="Times New Roman"/>
                <w:b/>
                <w:sz w:val="24"/>
              </w:rPr>
              <w:t>Сигналов на 1000 счетов</w:t>
            </w:r>
          </w:p>
        </w:tc>
        <w:tc>
          <w:tcPr>
            <w:tcW w:type="dxa" w:w="3230"/>
          </w:tcPr>
          <w:p>
            <w:pPr>
              <w:spacing w:after="0" w:line="240" w:lineRule="auto"/>
              <w:jc w:val="center"/>
            </w:pPr>
            <w:r/>
            <w:r>
              <w:rPr>
                <w:rFonts w:ascii="Times New Roman" w:hAnsi="Times New Roman"/>
                <w:b/>
                <w:sz w:val="24"/>
              </w:rPr>
              <w:t>Доля подтверждений</w:t>
            </w:r>
          </w:p>
        </w:tc>
      </w:tr>
      <w:tr>
        <w:tc>
          <w:tcPr>
            <w:tcW w:type="dxa" w:w="3230"/>
          </w:tcPr>
          <w:p>
            <w:pPr>
              <w:spacing w:after="0" w:line="240" w:lineRule="auto"/>
              <w:jc w:val="left"/>
            </w:pPr>
            <w:r/>
            <w:r>
              <w:rPr>
                <w:rFonts w:ascii="Times New Roman" w:hAnsi="Times New Roman"/>
                <w:b w:val="0"/>
                <w:sz w:val="24"/>
              </w:rPr>
              <w:t>Проверять верхние 10 % списка</w:t>
            </w:r>
          </w:p>
        </w:tc>
        <w:tc>
          <w:tcPr>
            <w:tcW w:type="dxa" w:w="3230"/>
          </w:tcPr>
          <w:p>
            <w:pPr>
              <w:spacing w:after="0" w:line="240" w:lineRule="auto"/>
              <w:jc w:val="center"/>
            </w:pPr>
            <w:r/>
            <w:r>
              <w:rPr>
                <w:rFonts w:ascii="Times New Roman" w:hAnsi="Times New Roman"/>
                <w:b w:val="0"/>
                <w:sz w:val="24"/>
              </w:rPr>
              <w:t>100</w:t>
            </w:r>
          </w:p>
        </w:tc>
        <w:tc>
          <w:tcPr>
            <w:tcW w:type="dxa" w:w="3230"/>
          </w:tcPr>
          <w:p>
            <w:pPr>
              <w:spacing w:after="0" w:line="240" w:lineRule="auto"/>
              <w:jc w:val="center"/>
            </w:pPr>
            <w:r/>
            <w:r>
              <w:rPr>
                <w:rFonts w:ascii="Times New Roman" w:hAnsi="Times New Roman"/>
                <w:b w:val="0"/>
                <w:sz w:val="24"/>
              </w:rPr>
              <w:t>0,008</w:t>
            </w:r>
          </w:p>
        </w:tc>
      </w:tr>
      <w:tr>
        <w:tc>
          <w:tcPr>
            <w:tcW w:type="dxa" w:w="3230"/>
          </w:tcPr>
          <w:p>
            <w:pPr>
              <w:spacing w:after="0" w:line="240" w:lineRule="auto"/>
              <w:jc w:val="left"/>
            </w:pPr>
            <w:r/>
            <w:r>
              <w:rPr>
                <w:rFonts w:ascii="Times New Roman" w:hAnsi="Times New Roman"/>
                <w:b w:val="0"/>
                <w:sz w:val="24"/>
              </w:rPr>
              <w:t>Порог под половину всех мошенников</w:t>
            </w:r>
          </w:p>
        </w:tc>
        <w:tc>
          <w:tcPr>
            <w:tcW w:type="dxa" w:w="3230"/>
          </w:tcPr>
          <w:p>
            <w:pPr>
              <w:spacing w:after="0" w:line="240" w:lineRule="auto"/>
              <w:jc w:val="center"/>
            </w:pPr>
            <w:r/>
            <w:r>
              <w:rPr>
                <w:rFonts w:ascii="Times New Roman" w:hAnsi="Times New Roman"/>
                <w:b w:val="0"/>
                <w:sz w:val="24"/>
              </w:rPr>
              <w:t>0,6</w:t>
            </w:r>
          </w:p>
        </w:tc>
        <w:tc>
          <w:tcPr>
            <w:tcW w:type="dxa" w:w="3230"/>
          </w:tcPr>
          <w:p>
            <w:pPr>
              <w:spacing w:after="0" w:line="240" w:lineRule="auto"/>
              <w:jc w:val="center"/>
            </w:pPr>
            <w:r/>
            <w:r>
              <w:rPr>
                <w:rFonts w:ascii="Times New Roman" w:hAnsi="Times New Roman"/>
                <w:b w:val="0"/>
                <w:sz w:val="24"/>
              </w:rPr>
              <w:t>0,86</w:t>
            </w:r>
          </w:p>
        </w:tc>
      </w:tr>
      <w:tr>
        <w:tc>
          <w:tcPr>
            <w:tcW w:type="dxa" w:w="3230"/>
          </w:tcPr>
          <w:p>
            <w:pPr>
              <w:spacing w:after="0" w:line="240" w:lineRule="auto"/>
              <w:jc w:val="left"/>
            </w:pPr>
            <w:r/>
            <w:r>
              <w:rPr>
                <w:rFonts w:ascii="Times New Roman" w:hAnsi="Times New Roman"/>
                <w:b w:val="0"/>
                <w:sz w:val="24"/>
              </w:rPr>
              <w:t>Порог под четырёх мошенников из пяти</w:t>
            </w:r>
          </w:p>
        </w:tc>
        <w:tc>
          <w:tcPr>
            <w:tcW w:type="dxa" w:w="3230"/>
          </w:tcPr>
          <w:p>
            <w:pPr>
              <w:spacing w:after="0" w:line="240" w:lineRule="auto"/>
              <w:jc w:val="center"/>
            </w:pPr>
            <w:r/>
            <w:r>
              <w:rPr>
                <w:rFonts w:ascii="Times New Roman" w:hAnsi="Times New Roman"/>
                <w:b w:val="0"/>
                <w:sz w:val="24"/>
              </w:rPr>
              <w:t>109</w:t>
            </w:r>
          </w:p>
        </w:tc>
        <w:tc>
          <w:tcPr>
            <w:tcW w:type="dxa" w:w="3230"/>
          </w:tcPr>
          <w:p>
            <w:pPr>
              <w:spacing w:after="0" w:line="240" w:lineRule="auto"/>
              <w:jc w:val="center"/>
            </w:pPr>
            <w:r/>
            <w:r>
              <w:rPr>
                <w:rFonts w:ascii="Times New Roman" w:hAnsi="Times New Roman"/>
                <w:b w:val="0"/>
                <w:sz w:val="24"/>
              </w:rPr>
              <w:t>0,011</w:t>
            </w:r>
          </w:p>
        </w:tc>
      </w:tr>
    </w:tbl>
    <w:p>
      <w:pPr>
        <w:spacing w:before="120" w:after="200"/>
        <w:jc w:val="center"/>
      </w:pPr>
      <w:r>
        <w:rPr>
          <w:rFonts w:ascii="Times New Roman" w:hAnsi="Times New Roman"/>
          <w:i/>
          <w:sz w:val="24"/>
        </w:rPr>
        <w:t>Таблица 4. Две политики отбора дел при доле мошенников 0,1 %</w:t>
      </w:r>
    </w:p>
    <w:p>
      <w:pPr>
        <w:spacing w:after="120"/>
        <w:ind w:firstLine="709"/>
        <w:jc w:val="both"/>
      </w:pPr>
      <w:r>
        <w:rPr>
          <w:rFonts w:ascii="Times New Roman" w:hAnsi="Times New Roman"/>
          <w:b w:val="0"/>
          <w:sz w:val="28"/>
        </w:rPr>
        <w:t xml:space="preserve">Верхняя часть ранжированного списка оказывается крутой: половина мошенников располагается выше порога, которого почти не достигают честные счета. Практический вывод формулируется так: </w:t>
      </w:r>
      <w:r>
        <w:rPr>
          <w:rFonts w:ascii="Times New Roman" w:hAnsi="Times New Roman"/>
          <w:b/>
          <w:sz w:val="28"/>
        </w:rPr>
        <w:t>первая половина очереди почти бесплатна, а каждая следующая десятая доля полноты стоит непропорционально дороже.</w:t>
      </w:r>
      <w:r>
        <w:rPr>
          <w:rFonts w:ascii="Times New Roman" w:hAnsi="Times New Roman"/>
          <w:b w:val="0"/>
          <w:sz w:val="28"/>
        </w:rPr>
        <w:t xml:space="preserve"> Это позволяет банку осознанно выбирать точку на кривой «полнота — нагрузка» вместо назначения произвольного бюджета проверки.</w:t>
      </w:r>
    </w:p>
    <w:p>
      <w:pPr>
        <w:spacing w:after="120"/>
        <w:ind w:firstLine="709"/>
        <w:jc w:val="both"/>
      </w:pPr>
      <w:r>
        <w:rPr>
          <w:rFonts w:ascii="Times New Roman" w:hAnsi="Times New Roman"/>
          <w:b/>
          <w:sz w:val="28"/>
        </w:rPr>
        <w:t>Результат 5. Цена уклонения.</w:t>
      </w:r>
      <w:r>
        <w:rPr>
          <w:rFonts w:ascii="Times New Roman" w:hAnsi="Times New Roman"/>
          <w:b w:val="0"/>
          <w:sz w:val="28"/>
        </w:rPr>
        <w:t xml:space="preserve"> Измерена зависимость доли обнаруженных групп от параметров уклонения организатора, изменяемых по одному (таблица 5). Каждый параметр имеет для организатора собственную стоимость: независимый источник финансирования — это реальный счёт с реальными деньгами, дополнительный банкомат — необходимость физически перемещать людей по городу.</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after="0" w:line="240" w:lineRule="auto"/>
              <w:jc w:val="center"/>
            </w:pPr>
            <w:r/>
            <w:r>
              <w:rPr>
                <w:rFonts w:ascii="Times New Roman" w:hAnsi="Times New Roman"/>
                <w:b/>
                <w:sz w:val="24"/>
              </w:rPr>
              <w:t>Источников финансирования</w:t>
            </w:r>
          </w:p>
        </w:tc>
        <w:tc>
          <w:tcPr>
            <w:tcW w:type="dxa" w:w="2422"/>
          </w:tcPr>
          <w:p>
            <w:pPr>
              <w:spacing w:after="0" w:line="240" w:lineRule="auto"/>
              <w:jc w:val="center"/>
            </w:pPr>
            <w:r/>
            <w:r>
              <w:rPr>
                <w:rFonts w:ascii="Times New Roman" w:hAnsi="Times New Roman"/>
                <w:b/>
                <w:sz w:val="24"/>
              </w:rPr>
              <w:t>Банкоматов</w:t>
            </w:r>
          </w:p>
        </w:tc>
        <w:tc>
          <w:tcPr>
            <w:tcW w:type="dxa" w:w="2422"/>
          </w:tcPr>
          <w:p>
            <w:pPr>
              <w:spacing w:after="0" w:line="240" w:lineRule="auto"/>
              <w:jc w:val="center"/>
            </w:pPr>
            <w:r/>
            <w:r>
              <w:rPr>
                <w:rFonts w:ascii="Times New Roman" w:hAnsi="Times New Roman"/>
                <w:b/>
                <w:sz w:val="24"/>
              </w:rPr>
              <w:t>Доля найденных групп</w:t>
            </w:r>
          </w:p>
        </w:tc>
        <w:tc>
          <w:tcPr>
            <w:tcW w:type="dxa" w:w="2422"/>
          </w:tcPr>
          <w:p>
            <w:pPr>
              <w:spacing w:after="0" w:line="240" w:lineRule="auto"/>
              <w:jc w:val="center"/>
            </w:pPr>
            <w:r/>
            <w:r>
              <w:rPr>
                <w:rFonts w:ascii="Times New Roman" w:hAnsi="Times New Roman"/>
                <w:b/>
                <w:sz w:val="24"/>
              </w:rPr>
              <w:t>Медиана перекрытия</w:t>
            </w:r>
          </w:p>
        </w:tc>
      </w:tr>
      <w:tr>
        <w:tc>
          <w:tcPr>
            <w:tcW w:type="dxa" w:w="2422"/>
          </w:tcPr>
          <w:p>
            <w:pPr>
              <w:spacing w:after="0" w:line="240" w:lineRule="auto"/>
              <w:jc w:val="left"/>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1,000</w:t>
            </w:r>
          </w:p>
        </w:tc>
        <w:tc>
          <w:tcPr>
            <w:tcW w:type="dxa" w:w="2422"/>
          </w:tcPr>
          <w:p>
            <w:pPr>
              <w:spacing w:after="0" w:line="240" w:lineRule="auto"/>
              <w:jc w:val="center"/>
            </w:pPr>
            <w:r/>
            <w:r>
              <w:rPr>
                <w:rFonts w:ascii="Times New Roman" w:hAnsi="Times New Roman"/>
                <w:b w:val="0"/>
                <w:sz w:val="24"/>
              </w:rPr>
              <w:t>1,000</w:t>
            </w:r>
          </w:p>
        </w:tc>
      </w:tr>
      <w:tr>
        <w:tc>
          <w:tcPr>
            <w:tcW w:type="dxa" w:w="2422"/>
          </w:tcPr>
          <w:p>
            <w:pPr>
              <w:spacing w:after="0" w:line="240" w:lineRule="auto"/>
              <w:jc w:val="left"/>
            </w:pPr>
            <w:r/>
            <w:r>
              <w:rPr>
                <w:rFonts w:ascii="Times New Roman" w:hAnsi="Times New Roman"/>
                <w:b w:val="0"/>
                <w:sz w:val="24"/>
              </w:rPr>
              <w:t>2</w:t>
            </w:r>
          </w:p>
        </w:tc>
        <w:tc>
          <w:tcPr>
            <w:tcW w:type="dxa" w:w="2422"/>
          </w:tcPr>
          <w:p>
            <w:pPr>
              <w:spacing w:after="0" w:line="240" w:lineRule="auto"/>
              <w:jc w:val="center"/>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0,956</w:t>
            </w:r>
          </w:p>
        </w:tc>
        <w:tc>
          <w:tcPr>
            <w:tcW w:type="dxa" w:w="2422"/>
          </w:tcPr>
          <w:p>
            <w:pPr>
              <w:spacing w:after="0" w:line="240" w:lineRule="auto"/>
              <w:jc w:val="center"/>
            </w:pPr>
            <w:r/>
            <w:r>
              <w:rPr>
                <w:rFonts w:ascii="Times New Roman" w:hAnsi="Times New Roman"/>
                <w:b w:val="0"/>
                <w:sz w:val="24"/>
              </w:rPr>
              <w:t>0,791</w:t>
            </w:r>
          </w:p>
        </w:tc>
      </w:tr>
      <w:tr>
        <w:tc>
          <w:tcPr>
            <w:tcW w:type="dxa" w:w="2422"/>
          </w:tcPr>
          <w:p>
            <w:pPr>
              <w:spacing w:after="0" w:line="240" w:lineRule="auto"/>
              <w:jc w:val="left"/>
            </w:pPr>
            <w:r/>
            <w:r>
              <w:rPr>
                <w:rFonts w:ascii="Times New Roman" w:hAnsi="Times New Roman"/>
                <w:b w:val="0"/>
                <w:sz w:val="24"/>
              </w:rPr>
              <w:t>3</w:t>
            </w:r>
          </w:p>
        </w:tc>
        <w:tc>
          <w:tcPr>
            <w:tcW w:type="dxa" w:w="2422"/>
          </w:tcPr>
          <w:p>
            <w:pPr>
              <w:spacing w:after="0" w:line="240" w:lineRule="auto"/>
              <w:jc w:val="center"/>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0,667</w:t>
            </w:r>
          </w:p>
        </w:tc>
        <w:tc>
          <w:tcPr>
            <w:tcW w:type="dxa" w:w="2422"/>
          </w:tcPr>
          <w:p>
            <w:pPr>
              <w:spacing w:after="0" w:line="240" w:lineRule="auto"/>
              <w:jc w:val="center"/>
            </w:pPr>
            <w:r/>
            <w:r>
              <w:rPr>
                <w:rFonts w:ascii="Times New Roman" w:hAnsi="Times New Roman"/>
                <w:b w:val="0"/>
                <w:sz w:val="24"/>
              </w:rPr>
              <w:t>0,554</w:t>
            </w:r>
          </w:p>
        </w:tc>
      </w:tr>
      <w:tr>
        <w:tc>
          <w:tcPr>
            <w:tcW w:type="dxa" w:w="2422"/>
          </w:tcPr>
          <w:p>
            <w:pPr>
              <w:spacing w:after="0" w:line="240" w:lineRule="auto"/>
              <w:jc w:val="left"/>
            </w:pPr>
            <w:r/>
            <w:r>
              <w:rPr>
                <w:rFonts w:ascii="Times New Roman" w:hAnsi="Times New Roman"/>
                <w:b w:val="0"/>
                <w:sz w:val="24"/>
              </w:rPr>
              <w:t>4</w:t>
            </w:r>
          </w:p>
        </w:tc>
        <w:tc>
          <w:tcPr>
            <w:tcW w:type="dxa" w:w="2422"/>
          </w:tcPr>
          <w:p>
            <w:pPr>
              <w:spacing w:after="0" w:line="240" w:lineRule="auto"/>
              <w:jc w:val="center"/>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0,378</w:t>
            </w:r>
          </w:p>
        </w:tc>
        <w:tc>
          <w:tcPr>
            <w:tcW w:type="dxa" w:w="2422"/>
          </w:tcPr>
          <w:p>
            <w:pPr>
              <w:spacing w:after="0" w:line="240" w:lineRule="auto"/>
              <w:jc w:val="center"/>
            </w:pPr>
            <w:r/>
            <w:r>
              <w:rPr>
                <w:rFonts w:ascii="Times New Roman" w:hAnsi="Times New Roman"/>
                <w:b w:val="0"/>
                <w:sz w:val="24"/>
              </w:rPr>
              <w:t>0,417</w:t>
            </w:r>
          </w:p>
        </w:tc>
      </w:tr>
      <w:tr>
        <w:tc>
          <w:tcPr>
            <w:tcW w:type="dxa" w:w="2422"/>
          </w:tcPr>
          <w:p>
            <w:pPr>
              <w:spacing w:after="0" w:line="240" w:lineRule="auto"/>
              <w:jc w:val="left"/>
            </w:pPr>
            <w:r/>
            <w:r>
              <w:rPr>
                <w:rFonts w:ascii="Times New Roman" w:hAnsi="Times New Roman"/>
                <w:b w:val="0"/>
                <w:sz w:val="24"/>
              </w:rPr>
              <w:t>6</w:t>
            </w:r>
          </w:p>
        </w:tc>
        <w:tc>
          <w:tcPr>
            <w:tcW w:type="dxa" w:w="2422"/>
          </w:tcPr>
          <w:p>
            <w:pPr>
              <w:spacing w:after="0" w:line="240" w:lineRule="auto"/>
              <w:jc w:val="center"/>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0,100</w:t>
            </w:r>
          </w:p>
        </w:tc>
        <w:tc>
          <w:tcPr>
            <w:tcW w:type="dxa" w:w="2422"/>
          </w:tcPr>
          <w:p>
            <w:pPr>
              <w:spacing w:after="0" w:line="240" w:lineRule="auto"/>
              <w:jc w:val="center"/>
            </w:pPr>
            <w:r/>
            <w:r>
              <w:rPr>
                <w:rFonts w:ascii="Times New Roman" w:hAnsi="Times New Roman"/>
                <w:b w:val="0"/>
                <w:sz w:val="24"/>
              </w:rPr>
              <w:t>0,228</w:t>
            </w:r>
          </w:p>
        </w:tc>
      </w:tr>
      <w:tr>
        <w:tc>
          <w:tcPr>
            <w:tcW w:type="dxa" w:w="2422"/>
          </w:tcPr>
          <w:p>
            <w:pPr>
              <w:spacing w:after="0" w:line="240" w:lineRule="auto"/>
              <w:jc w:val="left"/>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2</w:t>
            </w:r>
          </w:p>
        </w:tc>
        <w:tc>
          <w:tcPr>
            <w:tcW w:type="dxa" w:w="2422"/>
          </w:tcPr>
          <w:p>
            <w:pPr>
              <w:spacing w:after="0" w:line="240" w:lineRule="auto"/>
              <w:jc w:val="center"/>
            </w:pPr>
            <w:r/>
            <w:r>
              <w:rPr>
                <w:rFonts w:ascii="Times New Roman" w:hAnsi="Times New Roman"/>
                <w:b w:val="0"/>
                <w:sz w:val="24"/>
              </w:rPr>
              <w:t>0,978</w:t>
            </w:r>
          </w:p>
        </w:tc>
        <w:tc>
          <w:tcPr>
            <w:tcW w:type="dxa" w:w="2422"/>
          </w:tcPr>
          <w:p>
            <w:pPr>
              <w:spacing w:after="0" w:line="240" w:lineRule="auto"/>
              <w:jc w:val="center"/>
            </w:pPr>
            <w:r/>
            <w:r>
              <w:rPr>
                <w:rFonts w:ascii="Times New Roman" w:hAnsi="Times New Roman"/>
                <w:b w:val="0"/>
                <w:sz w:val="24"/>
              </w:rPr>
              <w:t>1,000</w:t>
            </w:r>
          </w:p>
        </w:tc>
      </w:tr>
      <w:tr>
        <w:tc>
          <w:tcPr>
            <w:tcW w:type="dxa" w:w="2422"/>
          </w:tcPr>
          <w:p>
            <w:pPr>
              <w:spacing w:after="0" w:line="240" w:lineRule="auto"/>
              <w:jc w:val="left"/>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3</w:t>
            </w:r>
          </w:p>
        </w:tc>
        <w:tc>
          <w:tcPr>
            <w:tcW w:type="dxa" w:w="2422"/>
          </w:tcPr>
          <w:p>
            <w:pPr>
              <w:spacing w:after="0" w:line="240" w:lineRule="auto"/>
              <w:jc w:val="center"/>
            </w:pPr>
            <w:r/>
            <w:r>
              <w:rPr>
                <w:rFonts w:ascii="Times New Roman" w:hAnsi="Times New Roman"/>
                <w:b w:val="0"/>
                <w:sz w:val="24"/>
              </w:rPr>
              <w:t>0,761</w:t>
            </w:r>
          </w:p>
        </w:tc>
        <w:tc>
          <w:tcPr>
            <w:tcW w:type="dxa" w:w="2422"/>
          </w:tcPr>
          <w:p>
            <w:pPr>
              <w:spacing w:after="0" w:line="240" w:lineRule="auto"/>
              <w:jc w:val="center"/>
            </w:pPr>
            <w:r/>
            <w:r>
              <w:rPr>
                <w:rFonts w:ascii="Times New Roman" w:hAnsi="Times New Roman"/>
                <w:b w:val="0"/>
                <w:sz w:val="24"/>
              </w:rPr>
              <w:t>1,000</w:t>
            </w:r>
          </w:p>
        </w:tc>
      </w:tr>
      <w:tr>
        <w:tc>
          <w:tcPr>
            <w:tcW w:type="dxa" w:w="2422"/>
          </w:tcPr>
          <w:p>
            <w:pPr>
              <w:spacing w:after="0" w:line="240" w:lineRule="auto"/>
              <w:jc w:val="left"/>
            </w:pPr>
            <w:r/>
            <w:r>
              <w:rPr>
                <w:rFonts w:ascii="Times New Roman" w:hAnsi="Times New Roman"/>
                <w:b w:val="0"/>
                <w:sz w:val="24"/>
              </w:rPr>
              <w:t>1</w:t>
            </w:r>
          </w:p>
        </w:tc>
        <w:tc>
          <w:tcPr>
            <w:tcW w:type="dxa" w:w="2422"/>
          </w:tcPr>
          <w:p>
            <w:pPr>
              <w:spacing w:after="0" w:line="240" w:lineRule="auto"/>
              <w:jc w:val="center"/>
            </w:pPr>
            <w:r/>
            <w:r>
              <w:rPr>
                <w:rFonts w:ascii="Times New Roman" w:hAnsi="Times New Roman"/>
                <w:b w:val="0"/>
                <w:sz w:val="24"/>
              </w:rPr>
              <w:t>4</w:t>
            </w:r>
          </w:p>
        </w:tc>
        <w:tc>
          <w:tcPr>
            <w:tcW w:type="dxa" w:w="2422"/>
          </w:tcPr>
          <w:p>
            <w:pPr>
              <w:spacing w:after="0" w:line="240" w:lineRule="auto"/>
              <w:jc w:val="center"/>
            </w:pPr>
            <w:r/>
            <w:r>
              <w:rPr>
                <w:rFonts w:ascii="Times New Roman" w:hAnsi="Times New Roman"/>
                <w:b w:val="0"/>
                <w:sz w:val="24"/>
              </w:rPr>
              <w:t>0,761</w:t>
            </w:r>
          </w:p>
        </w:tc>
        <w:tc>
          <w:tcPr>
            <w:tcW w:type="dxa" w:w="2422"/>
          </w:tcPr>
          <w:p>
            <w:pPr>
              <w:spacing w:after="0" w:line="240" w:lineRule="auto"/>
              <w:jc w:val="center"/>
            </w:pPr>
            <w:r/>
            <w:r>
              <w:rPr>
                <w:rFonts w:ascii="Times New Roman" w:hAnsi="Times New Roman"/>
                <w:b w:val="0"/>
                <w:sz w:val="24"/>
              </w:rPr>
              <w:t>1,000</w:t>
            </w:r>
          </w:p>
        </w:tc>
      </w:tr>
      <w:tr>
        <w:tc>
          <w:tcPr>
            <w:tcW w:type="dxa" w:w="2422"/>
          </w:tcPr>
          <w:p>
            <w:pPr>
              <w:spacing w:after="0" w:line="240" w:lineRule="auto"/>
              <w:jc w:val="left"/>
            </w:pPr>
            <w:r/>
            <w:r>
              <w:rPr>
                <w:rFonts w:ascii="Times New Roman" w:hAnsi="Times New Roman"/>
                <w:b w:val="0"/>
                <w:sz w:val="24"/>
              </w:rPr>
              <w:t>6</w:t>
            </w:r>
          </w:p>
        </w:tc>
        <w:tc>
          <w:tcPr>
            <w:tcW w:type="dxa" w:w="2422"/>
          </w:tcPr>
          <w:p>
            <w:pPr>
              <w:spacing w:after="0" w:line="240" w:lineRule="auto"/>
              <w:jc w:val="center"/>
            </w:pPr>
            <w:r/>
            <w:r>
              <w:rPr>
                <w:rFonts w:ascii="Times New Roman" w:hAnsi="Times New Roman"/>
                <w:b w:val="0"/>
                <w:sz w:val="24"/>
              </w:rPr>
              <w:t>4</w:t>
            </w:r>
          </w:p>
        </w:tc>
        <w:tc>
          <w:tcPr>
            <w:tcW w:type="dxa" w:w="2422"/>
          </w:tcPr>
          <w:p>
            <w:pPr>
              <w:spacing w:after="0" w:line="240" w:lineRule="auto"/>
              <w:jc w:val="center"/>
            </w:pPr>
            <w:r/>
            <w:r>
              <w:rPr>
                <w:rFonts w:ascii="Times New Roman" w:hAnsi="Times New Roman"/>
                <w:b w:val="0"/>
                <w:sz w:val="24"/>
              </w:rPr>
              <w:t>0,000</w:t>
            </w:r>
          </w:p>
        </w:tc>
        <w:tc>
          <w:tcPr>
            <w:tcW w:type="dxa" w:w="2422"/>
          </w:tcPr>
          <w:p>
            <w:pPr>
              <w:spacing w:after="0" w:line="240" w:lineRule="auto"/>
              <w:jc w:val="center"/>
            </w:pPr>
            <w:r/>
            <w:r>
              <w:rPr>
                <w:rFonts w:ascii="Times New Roman" w:hAnsi="Times New Roman"/>
                <w:b w:val="0"/>
                <w:sz w:val="24"/>
              </w:rPr>
              <w:t>0,000</w:t>
            </w:r>
          </w:p>
        </w:tc>
      </w:tr>
    </w:tbl>
    <w:p>
      <w:pPr>
        <w:spacing w:before="120" w:after="200"/>
        <w:jc w:val="center"/>
      </w:pPr>
      <w:r>
        <w:rPr>
          <w:rFonts w:ascii="Times New Roman" w:hAnsi="Times New Roman"/>
          <w:i/>
          <w:sz w:val="24"/>
        </w:rPr>
        <w:t>Таблица 5. Доля обнаруженных групп в зависимости от параметров уклонения</w:t>
      </w:r>
    </w:p>
    <w:p>
      <w:pPr>
        <w:jc w:val="center"/>
      </w:pPr>
      <w:r>
        <w:drawing>
          <wp:inline xmlns:a="http://schemas.openxmlformats.org/drawingml/2006/main" xmlns:pic="http://schemas.openxmlformats.org/drawingml/2006/picture">
            <wp:extent cx="5760000" cy="4017862"/>
            <wp:docPr id="4" name="Picture 4"/>
            <wp:cNvGraphicFramePr>
              <a:graphicFrameLocks noChangeAspect="1"/>
            </wp:cNvGraphicFramePr>
            <a:graphic>
              <a:graphicData uri="http://schemas.openxmlformats.org/drawingml/2006/picture">
                <pic:pic>
                  <pic:nvPicPr>
                    <pic:cNvPr id="0" name="evasion.png"/>
                    <pic:cNvPicPr/>
                  </pic:nvPicPr>
                  <pic:blipFill>
                    <a:blip r:embed="rId13"/>
                    <a:stretch>
                      <a:fillRect/>
                    </a:stretch>
                  </pic:blipFill>
                  <pic:spPr>
                    <a:xfrm>
                      <a:off x="0" y="0"/>
                      <a:ext cx="5760000" cy="4017862"/>
                    </a:xfrm>
                    <a:prstGeom prst="rect"/>
                  </pic:spPr>
                </pic:pic>
              </a:graphicData>
            </a:graphic>
          </wp:inline>
        </w:drawing>
      </w:r>
    </w:p>
    <w:p>
      <w:pPr>
        <w:spacing w:before="80" w:after="200"/>
        <w:jc w:val="center"/>
      </w:pPr>
      <w:r>
        <w:rPr>
          <w:rFonts w:ascii="Times New Roman" w:hAnsi="Times New Roman"/>
          <w:i/>
          <w:sz w:val="24"/>
        </w:rPr>
        <w:t>Рисунок 4. Цена уклонения по каждому параметру в отдельности. Точка разрушения группового поиска — третий независимый источник финансирования.</w:t>
      </w:r>
    </w:p>
    <w:p>
      <w:pPr>
        <w:spacing w:after="120"/>
        <w:ind w:firstLine="709"/>
        <w:jc w:val="both"/>
      </w:pPr>
      <w:r>
        <w:rPr>
          <w:rFonts w:ascii="Times New Roman" w:hAnsi="Times New Roman"/>
          <w:b w:val="0"/>
          <w:sz w:val="28"/>
        </w:rPr>
        <w:t xml:space="preserve">Из данных следует, что критическим параметром является дробление источников финансирования: два источника почти не влияют на обнаружение, третий обрушивает долю найденных групп с 1,000 до 0,667, четвёртый — до 0,378. Дополнительные банкоматы дороже для организатора и дают меньший эффект: при четырёх банкоматах три группы из четырёх остаются восстановимыми. Совместное применение обоих параметров даёт качественно иной результат, чем сумма эффектов: доля обнаруженных групп обращается в ноль. При этом </w:t>
      </w:r>
      <w:r>
        <w:rPr>
          <w:rFonts w:ascii="Times New Roman" w:hAnsi="Times New Roman"/>
          <w:b/>
          <w:sz w:val="28"/>
        </w:rPr>
        <w:t>счётный уровень анализа не реагирует на уклонение вообще</w:t>
      </w:r>
      <w:r>
        <w:rPr>
          <w:rFonts w:ascii="Times New Roman" w:hAnsi="Times New Roman"/>
          <w:b w:val="0"/>
          <w:sz w:val="28"/>
        </w:rPr>
        <w:t>: его показатель остаётся в пределах 0,950–0,970 на всей кривой. Ни один из двух объектов анализа не доминирует: один сильнее в отсутствие противодействия, другой сохраняет работоспособность против противника, готового платить за сокрытие.</w:t>
      </w:r>
    </w:p>
    <w:p>
      <w:pPr>
        <w:spacing w:after="120"/>
        <w:ind w:firstLine="709"/>
        <w:jc w:val="both"/>
      </w:pPr>
      <w:r>
        <w:rPr>
          <w:rFonts w:ascii="Times New Roman" w:hAnsi="Times New Roman"/>
          <w:b/>
          <w:sz w:val="28"/>
        </w:rPr>
        <w:t>Результат 6. Сравнение с действующими критериями.</w:t>
      </w:r>
      <w:r>
        <w:rPr>
          <w:rFonts w:ascii="Times New Roman" w:hAnsi="Times New Roman"/>
          <w:b w:val="0"/>
          <w:sz w:val="28"/>
        </w:rPr>
        <w:t xml:space="preserve"> Три из четырёх критериев, применяемых для идентификации дропперов, выразимы на платёжных данных; четвёртый (совпадение устройства) на доступных данных не выразим и исключён из подсчёта с указанием причины. Сравнение по десяти независимым запускам приведено в таблице 6.</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0" w:line="240" w:lineRule="auto"/>
              <w:jc w:val="center"/>
            </w:pPr>
            <w:r/>
            <w:r>
              <w:rPr>
                <w:rFonts w:ascii="Times New Roman" w:hAnsi="Times New Roman"/>
                <w:b/>
                <w:sz w:val="24"/>
              </w:rPr>
              <w:t>Подход</w:t>
            </w:r>
          </w:p>
        </w:tc>
        <w:tc>
          <w:tcPr>
            <w:tcW w:type="dxa" w:w="3230"/>
          </w:tcPr>
          <w:p>
            <w:pPr>
              <w:spacing w:after="0" w:line="240" w:lineRule="auto"/>
              <w:jc w:val="center"/>
            </w:pPr>
            <w:r/>
            <w:r>
              <w:rPr>
                <w:rFonts w:ascii="Times New Roman" w:hAnsi="Times New Roman"/>
                <w:b/>
                <w:sz w:val="24"/>
              </w:rPr>
              <w:t>ROC-AUC</w:t>
            </w:r>
          </w:p>
        </w:tc>
        <w:tc>
          <w:tcPr>
            <w:tcW w:type="dxa" w:w="3230"/>
          </w:tcPr>
          <w:p>
            <w:pPr>
              <w:spacing w:after="0" w:line="240" w:lineRule="auto"/>
              <w:jc w:val="center"/>
            </w:pPr>
            <w:r/>
            <w:r>
              <w:rPr>
                <w:rFonts w:ascii="Times New Roman" w:hAnsi="Times New Roman"/>
                <w:b/>
                <w:sz w:val="24"/>
              </w:rPr>
              <w:t>Разброс</w:t>
            </w:r>
          </w:p>
        </w:tc>
      </w:tr>
      <w:tr>
        <w:tc>
          <w:tcPr>
            <w:tcW w:type="dxa" w:w="3230"/>
          </w:tcPr>
          <w:p>
            <w:pPr>
              <w:spacing w:after="0" w:line="240" w:lineRule="auto"/>
              <w:jc w:val="left"/>
            </w:pPr>
            <w:r/>
            <w:r>
              <w:rPr>
                <w:rFonts w:ascii="Times New Roman" w:hAnsi="Times New Roman"/>
                <w:b w:val="0"/>
                <w:sz w:val="24"/>
              </w:rPr>
              <w:t>Критерии приказа (три из четырёх выразимы)</w:t>
            </w:r>
          </w:p>
        </w:tc>
        <w:tc>
          <w:tcPr>
            <w:tcW w:type="dxa" w:w="3230"/>
          </w:tcPr>
          <w:p>
            <w:pPr>
              <w:spacing w:after="0" w:line="240" w:lineRule="auto"/>
              <w:jc w:val="center"/>
            </w:pPr>
            <w:r/>
            <w:r>
              <w:rPr>
                <w:rFonts w:ascii="Times New Roman" w:hAnsi="Times New Roman"/>
                <w:b w:val="0"/>
                <w:sz w:val="24"/>
              </w:rPr>
              <w:t>0,761</w:t>
            </w:r>
          </w:p>
        </w:tc>
        <w:tc>
          <w:tcPr>
            <w:tcW w:type="dxa" w:w="3230"/>
          </w:tcPr>
          <w:p>
            <w:pPr>
              <w:spacing w:after="0" w:line="240" w:lineRule="auto"/>
              <w:jc w:val="center"/>
            </w:pPr>
            <w:r/>
            <w:r>
              <w:rPr>
                <w:rFonts w:ascii="Times New Roman" w:hAnsi="Times New Roman"/>
                <w:b w:val="0"/>
                <w:sz w:val="24"/>
              </w:rPr>
              <w:t>± 0,008</w:t>
            </w:r>
          </w:p>
        </w:tc>
      </w:tr>
      <w:tr>
        <w:tc>
          <w:tcPr>
            <w:tcW w:type="dxa" w:w="3230"/>
          </w:tcPr>
          <w:p>
            <w:pPr>
              <w:spacing w:after="0" w:line="240" w:lineRule="auto"/>
              <w:jc w:val="left"/>
            </w:pPr>
            <w:r/>
            <w:r>
              <w:rPr>
                <w:rFonts w:ascii="Times New Roman" w:hAnsi="Times New Roman"/>
                <w:b w:val="0"/>
                <w:sz w:val="24"/>
              </w:rPr>
              <w:t>Ансамбль «Vertex» на тех же данных</w:t>
            </w:r>
          </w:p>
        </w:tc>
        <w:tc>
          <w:tcPr>
            <w:tcW w:type="dxa" w:w="3230"/>
          </w:tcPr>
          <w:p>
            <w:pPr>
              <w:spacing w:after="0" w:line="240" w:lineRule="auto"/>
              <w:jc w:val="center"/>
            </w:pPr>
            <w:r/>
            <w:r>
              <w:rPr>
                <w:rFonts w:ascii="Times New Roman" w:hAnsi="Times New Roman"/>
                <w:b w:val="0"/>
                <w:sz w:val="24"/>
              </w:rPr>
              <w:t>0,959</w:t>
            </w:r>
          </w:p>
        </w:tc>
        <w:tc>
          <w:tcPr>
            <w:tcW w:type="dxa" w:w="3230"/>
          </w:tcPr>
          <w:p>
            <w:pPr>
              <w:spacing w:after="0" w:line="240" w:lineRule="auto"/>
              <w:jc w:val="center"/>
            </w:pPr>
            <w:r/>
            <w:r>
              <w:rPr>
                <w:rFonts w:ascii="Times New Roman" w:hAnsi="Times New Roman"/>
                <w:b w:val="0"/>
                <w:sz w:val="24"/>
              </w:rPr>
              <w:t>± 0,009</w:t>
            </w:r>
          </w:p>
        </w:tc>
      </w:tr>
    </w:tbl>
    <w:p>
      <w:pPr>
        <w:spacing w:before="120" w:after="200"/>
        <w:jc w:val="center"/>
      </w:pPr>
      <w:r>
        <w:rPr>
          <w:rFonts w:ascii="Times New Roman" w:hAnsi="Times New Roman"/>
          <w:i/>
          <w:sz w:val="24"/>
        </w:rPr>
        <w:t>Таблица 6. Сравнение с действующими критериями, десять независимых запусков</w:t>
      </w:r>
    </w:p>
    <w:p>
      <w:pPr>
        <w:spacing w:after="120"/>
        <w:ind w:firstLine="709"/>
        <w:jc w:val="both"/>
      </w:pPr>
      <w:r>
        <w:rPr>
          <w:rFonts w:ascii="Times New Roman" w:hAnsi="Times New Roman"/>
          <w:b w:val="0"/>
          <w:sz w:val="28"/>
        </w:rPr>
        <w:t>Существенным здесь является не разрыв, а его причина: три критерия из четырёх описывают личность и оборудование клиента, а не структуру денежного потока, вследствие чего кольцо «чистых» счетов проходит их насквозь. Оба подхода следует рассматривать как разные слои защиты, а не как конкурирующие решения.</w:t>
      </w:r>
    </w:p>
    <w:p>
      <w:pPr>
        <w:pStyle w:val="Heading2"/>
        <w:keepNext/>
        <w:spacing w:before="240" w:after="200"/>
        <w:jc w:val="left"/>
      </w:pPr>
      <w:r>
        <w:rPr>
          <w:rFonts w:ascii="Times New Roman" w:hAnsi="Times New Roman"/>
          <w:b/>
          <w:sz w:val="28"/>
        </w:rPr>
        <w:t>3.4 Ограничения работы и внешняя валидация</w:t>
      </w:r>
    </w:p>
    <w:p>
      <w:pPr>
        <w:spacing w:after="120"/>
        <w:ind w:firstLine="709"/>
        <w:jc w:val="both"/>
      </w:pPr>
      <w:r>
        <w:rPr>
          <w:rFonts w:ascii="Times New Roman" w:hAnsi="Times New Roman"/>
          <w:b w:val="0"/>
          <w:sz w:val="28"/>
        </w:rPr>
        <w:t>Ограничения настоящей работы формулируются явно, поскольку без них приведённые числа могут быть истолкованы шире, чем допустимо.</w:t>
      </w:r>
    </w:p>
    <w:p>
      <w:pPr>
        <w:spacing w:after="120"/>
        <w:ind w:left="567"/>
        <w:jc w:val="both"/>
      </w:pPr>
      <w:r>
        <w:rPr>
          <w:rFonts w:ascii="Times New Roman" w:hAnsi="Times New Roman"/>
          <w:b w:val="0"/>
          <w:sz w:val="28"/>
        </w:rPr>
        <w:t xml:space="preserve">1. Все измерения выполнены на синтетическом мире, порождённом симулятором, написанным автором. Абсолютные значения метрик не заявляются как прогноз поведения системы на реальных данных; заявляются </w:t>
      </w:r>
      <w:r>
        <w:rPr>
          <w:rFonts w:ascii="Times New Roman" w:hAnsi="Times New Roman"/>
          <w:b/>
          <w:sz w:val="28"/>
        </w:rPr>
        <w:t>сравнения</w:t>
      </w:r>
      <w:r>
        <w:rPr>
          <w:rFonts w:ascii="Times New Roman" w:hAnsi="Times New Roman"/>
          <w:b w:val="0"/>
          <w:sz w:val="28"/>
        </w:rPr>
        <w:t xml:space="preserve"> внутри контролируемой среды: какой объект анализа переживает уклонение, во сколько раз редкость увеличивает нагрузку, где именно разрушается групповой поиск.</w:t>
      </w:r>
    </w:p>
    <w:p>
      <w:pPr>
        <w:spacing w:after="120"/>
        <w:ind w:left="567"/>
        <w:jc w:val="both"/>
      </w:pPr>
      <w:r>
        <w:rPr>
          <w:rFonts w:ascii="Times New Roman" w:hAnsi="Times New Roman"/>
          <w:b w:val="0"/>
          <w:sz w:val="28"/>
        </w:rPr>
        <w:t>2. То, что считается мошенничеством, задано моделью автора. Круг сужается введением трудных честных популяций и правилом проверки признаков против перемешанного контроля, но полностью размыкается только на реальных размеченных данных.</w:t>
      </w:r>
    </w:p>
    <w:p>
      <w:pPr>
        <w:spacing w:after="120"/>
        <w:ind w:left="567"/>
        <w:jc w:val="both"/>
      </w:pPr>
      <w:r>
        <w:rPr>
          <w:rFonts w:ascii="Times New Roman" w:hAnsi="Times New Roman"/>
          <w:b w:val="0"/>
          <w:sz w:val="28"/>
        </w:rPr>
        <w:t>3. Ячейки таблицы 3 при доле мошенников 0,1 % опираются на тринадцать мошеннических строк, и разброс по запускам там составляет от 0,842 до 0,997 — шире любой разницы, которую следовало бы заявлять между двумя детекторами.</w:t>
      </w:r>
    </w:p>
    <w:p>
      <w:pPr>
        <w:spacing w:after="120"/>
        <w:ind w:left="567"/>
        <w:jc w:val="both"/>
      </w:pPr>
      <w:r>
        <w:rPr>
          <w:rFonts w:ascii="Times New Roman" w:hAnsi="Times New Roman"/>
          <w:b w:val="0"/>
          <w:sz w:val="28"/>
        </w:rPr>
        <w:t>4. Редкость в эксперименте достигается прореживанием, а не порождением: окружение оставшегося мошенника остаётся столь же плотным. Настоящая редкость означает также меньшее число соседей-мошенников, то есть более трудную задачу.</w:t>
      </w:r>
    </w:p>
    <w:p>
      <w:pPr>
        <w:spacing w:after="120"/>
        <w:ind w:firstLine="709"/>
        <w:jc w:val="both"/>
      </w:pPr>
      <w:r>
        <w:rPr>
          <w:rFonts w:ascii="Times New Roman" w:hAnsi="Times New Roman"/>
          <w:b w:val="0"/>
          <w:sz w:val="28"/>
        </w:rPr>
        <w:t xml:space="preserve">Для размыкания первого ограничения в проекте реализован адаптер к публичному размеченному набору данных Elliptic, содержащему 203 769 транзакционных узлов и 234 355 рёбер, из которых около 46 тысяч имеют экспертную разметку. Адаптер и его тесты входят в состав репозитория; при этом в документации явно указано, какие признаки переносятся на этот набор, а какие нет: структурные признаки вычислимы, тогда как весовые варианты недоступны, поскольку суммы транзакций в наборе анонимизированы. </w:t>
      </w:r>
      <w:r>
        <w:rPr>
          <w:rFonts w:ascii="Times New Roman" w:hAnsi="Times New Roman"/>
          <w:b/>
          <w:sz w:val="28"/>
        </w:rPr>
        <w:t>Прогон полного конвейера на данном наборе относится к ближайшим задачам исследования и на момент подготовки работы не выполнен</w:t>
      </w:r>
      <w:r>
        <w:rPr>
          <w:rFonts w:ascii="Times New Roman" w:hAnsi="Times New Roman"/>
          <w:b w:val="0"/>
          <w:sz w:val="28"/>
        </w:rPr>
        <w:t>; приводить его результаты до фактического выполнения означало бы допустить ту самую ошибку, устранению которой посвящён следующий раздел.</w:t>
      </w:r>
    </w:p>
    <w:p>
      <w:pPr>
        <w:pStyle w:val="Heading2"/>
        <w:keepNext/>
        <w:spacing w:before="240" w:after="200"/>
        <w:jc w:val="left"/>
      </w:pPr>
      <w:r>
        <w:rPr>
          <w:rFonts w:ascii="Times New Roman" w:hAnsi="Times New Roman"/>
          <w:b/>
          <w:sz w:val="28"/>
        </w:rPr>
        <w:t>3.5 Пять дефектов измерения, обнаруженных в собственной системе</w:t>
      </w:r>
    </w:p>
    <w:p>
      <w:pPr>
        <w:spacing w:after="120"/>
        <w:ind w:firstLine="709"/>
        <w:jc w:val="both"/>
      </w:pPr>
      <w:r>
        <w:rPr>
          <w:rFonts w:ascii="Times New Roman" w:hAnsi="Times New Roman"/>
          <w:b w:val="0"/>
          <w:sz w:val="28"/>
        </w:rPr>
        <w:t>Настоящий раздел приводится как самостоятельный результат. Каждый из перечисленных дефектов приводил к завышению показателей качества и был обнаружен внутренним аудитом, а не внешней проверкой.</w:t>
      </w:r>
    </w:p>
    <w:p>
      <w:pPr>
        <w:spacing w:after="120"/>
        <w:ind w:left="567"/>
        <w:jc w:val="both"/>
      </w:pPr>
      <w:r>
        <w:rPr>
          <w:rFonts w:ascii="Times New Roman" w:hAnsi="Times New Roman"/>
          <w:b w:val="0"/>
          <w:sz w:val="28"/>
        </w:rPr>
        <w:t xml:space="preserve">1. </w:t>
      </w:r>
      <w:r>
        <w:rPr>
          <w:rFonts w:ascii="Times New Roman" w:hAnsi="Times New Roman"/>
          <w:b/>
          <w:sz w:val="28"/>
        </w:rPr>
        <w:t>Генератор записывал ответ в признаки.</w:t>
      </w:r>
      <w:r>
        <w:rPr>
          <w:rFonts w:ascii="Times New Roman" w:hAnsi="Times New Roman"/>
          <w:b w:val="0"/>
          <w:sz w:val="28"/>
        </w:rPr>
        <w:t xml:space="preserve"> Показатель ROC-AUC составлял 1,0000. После разделения генерации событий и вычисления признаков он снизился до 0,81 — и это была первая достоверная величина в проекте.</w:t>
      </w:r>
    </w:p>
    <w:p>
      <w:pPr>
        <w:spacing w:after="120"/>
        <w:ind w:left="567"/>
        <w:jc w:val="both"/>
      </w:pPr>
      <w:r>
        <w:rPr>
          <w:rFonts w:ascii="Times New Roman" w:hAnsi="Times New Roman"/>
          <w:b w:val="0"/>
          <w:sz w:val="28"/>
        </w:rPr>
        <w:t xml:space="preserve">2. </w:t>
      </w:r>
      <w:r>
        <w:rPr>
          <w:rFonts w:ascii="Times New Roman" w:hAnsi="Times New Roman"/>
          <w:b/>
          <w:sz w:val="28"/>
        </w:rPr>
        <w:t>Сборщик дел брал состав групп из файла с ответами.</w:t>
      </w:r>
      <w:r>
        <w:rPr>
          <w:rFonts w:ascii="Times New Roman" w:hAnsi="Times New Roman"/>
          <w:b w:val="0"/>
          <w:sz w:val="28"/>
        </w:rPr>
        <w:t xml:space="preserve"> Детектору передавалась уже собранная группа, то есть самая трудная часть задачи решалась за него. Теперь группы формируются процедурой поиска вслепую, а метки прикладываются после, что и позволило ввести понятие покрытия.</w:t>
      </w:r>
    </w:p>
    <w:p>
      <w:pPr>
        <w:spacing w:after="120"/>
        <w:ind w:left="567"/>
        <w:jc w:val="both"/>
      </w:pPr>
      <w:r>
        <w:rPr>
          <w:rFonts w:ascii="Times New Roman" w:hAnsi="Times New Roman"/>
          <w:b w:val="0"/>
          <w:sz w:val="28"/>
        </w:rPr>
        <w:t xml:space="preserve">3. </w:t>
      </w:r>
      <w:r>
        <w:rPr>
          <w:rFonts w:ascii="Times New Roman" w:hAnsi="Times New Roman"/>
          <w:b/>
          <w:sz w:val="28"/>
        </w:rPr>
        <w:t>Базовая линия сравнения работала в свою пользу.</w:t>
      </w:r>
      <w:r>
        <w:rPr>
          <w:rFonts w:ascii="Times New Roman" w:hAnsi="Times New Roman"/>
          <w:b w:val="0"/>
          <w:sz w:val="28"/>
        </w:rPr>
        <w:t xml:space="preserve"> Критерий «общее устройство» срабатывал на 100 % групп, поскольку сама процедура поиска связывала участников по общему банкомату. Критерий сообщал не о свойстве данных, а о способе построения группы; он исключён из подсчёта и оставлен в отчёте с указанием причины.</w:t>
      </w:r>
    </w:p>
    <w:p>
      <w:pPr>
        <w:spacing w:after="120"/>
        <w:ind w:left="567"/>
        <w:jc w:val="both"/>
      </w:pPr>
      <w:r>
        <w:rPr>
          <w:rFonts w:ascii="Times New Roman" w:hAnsi="Times New Roman"/>
          <w:b w:val="0"/>
          <w:sz w:val="28"/>
        </w:rPr>
        <w:t xml:space="preserve">4. </w:t>
      </w:r>
      <w:r>
        <w:rPr>
          <w:rFonts w:ascii="Times New Roman" w:hAnsi="Times New Roman"/>
          <w:b/>
          <w:sz w:val="28"/>
        </w:rPr>
        <w:t>79 % честной выборки составляли счета с одним-двумя событиями.</w:t>
      </w:r>
      <w:r>
        <w:rPr>
          <w:rFonts w:ascii="Times New Roman" w:hAnsi="Times New Roman"/>
          <w:b w:val="0"/>
          <w:sz w:val="28"/>
        </w:rPr>
        <w:t xml:space="preserve"> Модель фактически отличала активные счета от неактивных: один только счётчик событий давал ROC-AUC 0,8432. Введён порог в десять событий, при котором счётчик событий опускается ниже уровня случайного угадывания, а цена порога измерена и приведена как потолок счётного уровня.</w:t>
      </w:r>
    </w:p>
    <w:p>
      <w:pPr>
        <w:spacing w:after="120"/>
        <w:ind w:left="567"/>
        <w:jc w:val="both"/>
      </w:pPr>
      <w:r>
        <w:rPr>
          <w:rFonts w:ascii="Times New Roman" w:hAnsi="Times New Roman"/>
          <w:b w:val="0"/>
          <w:sz w:val="28"/>
        </w:rPr>
        <w:t xml:space="preserve">5. </w:t>
      </w:r>
      <w:r>
        <w:rPr>
          <w:rFonts w:ascii="Times New Roman" w:hAnsi="Times New Roman"/>
          <w:b/>
          <w:sz w:val="28"/>
        </w:rPr>
        <w:t>Первая лестница миров измеряла дисбаланс классов.</w:t>
      </w:r>
      <w:r>
        <w:rPr>
          <w:rFonts w:ascii="Times New Roman" w:hAnsi="Times New Roman"/>
          <w:b w:val="0"/>
          <w:sz w:val="28"/>
        </w:rPr>
        <w:t xml:space="preserve"> Мир на 96 % состоял из мошенников. Правило «ступень меняет вид честных участников, а не их количество» закреплено автоматическим тестом.</w:t>
      </w:r>
    </w:p>
    <w:p>
      <w:pPr>
        <w:spacing w:after="120"/>
        <w:ind w:firstLine="709"/>
        <w:jc w:val="both"/>
      </w:pPr>
      <w:r>
        <w:rPr>
          <w:rFonts w:ascii="Times New Roman" w:hAnsi="Times New Roman"/>
          <w:b w:val="0"/>
          <w:sz w:val="28"/>
        </w:rPr>
        <w:t>Отдельно следует описать судьбу ранней версии системы, поскольку именно её показатели чаще всего цитируются. Первая работоспособная конфигурация обучалась на выборке из 4 000 кейсов по девяти агрегированным признакам и показывала долю правильных ответов 0,9625 при площади под ROC-кривой 0,994; пороги отнесения к среднему и высокому риску были зафиксированы в коде значениями 0,4 и 0,7. Все три компонента этой конфигурации оказались несостоятельными по разным причинам: признаки вычислялись генератором, а не детектором (дефект 1), кейсы собирались с использованием файла ответов (дефект 2), а зашитые пороги не имели отношения ни к какой заданной полноте и не пересчитывались при изменении доли мошенников. В настоящей версии все три компонента заменены: выборка выросла с 4 000 кейсов до мира из 330 тысяч событий, признаки вычисляются исключительно детектором, а порог выбирается по прошлым временным отрезкам под заданную полноту (раздел 3.3, результат 4). Показатели ранней версии в настоящей работе не приводятся как результаты и сохранены только в истории проекта.</w:t>
      </w:r>
    </w:p>
    <w:p>
      <w:pPr>
        <w:spacing w:after="120"/>
        <w:ind w:firstLine="709"/>
        <w:jc w:val="both"/>
      </w:pPr>
      <w:r>
        <w:rPr>
          <w:rFonts w:ascii="Times New Roman" w:hAnsi="Times New Roman"/>
          <w:b w:val="0"/>
          <w:sz w:val="28"/>
        </w:rPr>
        <w:t>Совокупная методологическая ценность этого раздела состоит в следующем: ни один из пяти дефектов не был опечаткой или ошибкой программирования в обычном смысле — каждый представлял собой корректно работающий код, отвечавший не на тот вопрос. Именно поэтому в работе принято требование, чтобы каждое заявляемое число сопровождалось командой, которой оно воспроизводится, и указанием того, что оно не доказывает.</w:t>
      </w:r>
    </w:p>
    <w:p>
      <w:r>
        <w:br w:type="page"/>
      </w:r>
    </w:p>
    <w:p>
      <w:pPr>
        <w:pStyle w:val="Heading1"/>
        <w:keepNext/>
        <w:spacing w:before="240" w:after="200"/>
        <w:jc w:val="center"/>
      </w:pPr>
      <w:r>
        <w:rPr>
          <w:rFonts w:ascii="Times New Roman" w:hAnsi="Times New Roman"/>
          <w:b/>
          <w:sz w:val="30"/>
        </w:rPr>
        <w:t>ЗАКЛЮЧЕНИЕ</w:t>
      </w:r>
    </w:p>
    <w:p>
      <w:pPr>
        <w:spacing w:after="120"/>
        <w:ind w:firstLine="709"/>
        <w:jc w:val="both"/>
      </w:pPr>
      <w:r>
        <w:rPr>
          <w:rFonts w:ascii="Times New Roman" w:hAnsi="Times New Roman"/>
          <w:b w:val="0"/>
          <w:sz w:val="28"/>
        </w:rPr>
        <w:t>В ходе научно-исследовательской работы по проектированию системы транзакционного антифрода «Vertex» решены поставленные задачи и получены следующие результаты.</w:t>
      </w:r>
    </w:p>
    <w:p>
      <w:pPr>
        <w:spacing w:after="120"/>
        <w:ind w:left="567"/>
        <w:jc w:val="both"/>
      </w:pPr>
      <w:r>
        <w:rPr>
          <w:rFonts w:ascii="Times New Roman" w:hAnsi="Times New Roman"/>
          <w:b w:val="0"/>
          <w:sz w:val="28"/>
        </w:rPr>
        <w:t>1. Проведён анализ ограничений действующих систем идентификации дропперов и показана уязвимость критериев, основанных на атрибутах личности и устройств, в условиях их полной рандомизации мошенниками.</w:t>
      </w:r>
    </w:p>
    <w:p>
      <w:pPr>
        <w:spacing w:after="120"/>
        <w:ind w:left="567"/>
        <w:jc w:val="both"/>
      </w:pPr>
      <w:r>
        <w:rPr>
          <w:rFonts w:ascii="Times New Roman" w:hAnsi="Times New Roman"/>
          <w:b w:val="0"/>
          <w:sz w:val="28"/>
        </w:rPr>
        <w:t>2. Формализован граф финансовых транзакций, реализовано извлечение структурных признаков локальных окрестностей и мер центральности, и принято правило, по которому признак подключается только после превосходства над перемешанным контролем.</w:t>
      </w:r>
    </w:p>
    <w:p>
      <w:pPr>
        <w:spacing w:after="120"/>
        <w:ind w:left="567"/>
        <w:jc w:val="both"/>
      </w:pPr>
      <w:r>
        <w:rPr>
          <w:rFonts w:ascii="Times New Roman" w:hAnsi="Times New Roman"/>
          <w:b w:val="0"/>
          <w:sz w:val="28"/>
        </w:rPr>
        <w:t>3. Сформулирован и реализован параметр W, объединяющий медленные финансовые пирамиды и быстрые дропперские сети в единую модель за счёт индивидуального времени удержания каждой сопоставленной денежной посылки; допущение о сопоставлении по принципу FIFO зафиксировано в методике явно.</w:t>
      </w:r>
    </w:p>
    <w:p>
      <w:pPr>
        <w:spacing w:after="120"/>
        <w:ind w:left="567"/>
        <w:jc w:val="both"/>
      </w:pPr>
      <w:r>
        <w:rPr>
          <w:rFonts w:ascii="Times New Roman" w:hAnsi="Times New Roman"/>
          <w:b w:val="0"/>
          <w:sz w:val="28"/>
        </w:rPr>
        <w:t>4. Спроектирован механизм разрешения сущностей с вынесением сетевого взаимодействия за пределы доменного слоя, что закреплено автоматически проверяемым архитектурным контрактом.</w:t>
      </w:r>
    </w:p>
    <w:p>
      <w:pPr>
        <w:spacing w:after="120"/>
        <w:ind w:left="567"/>
        <w:jc w:val="both"/>
      </w:pPr>
      <w:r>
        <w:rPr>
          <w:rFonts w:ascii="Times New Roman" w:hAnsi="Times New Roman"/>
          <w:b w:val="0"/>
          <w:sz w:val="28"/>
        </w:rPr>
        <w:t>5. Построен симулятор финансового мира, порождающий события, но не признаки, содержащий четыре популяции трудных отрицательных примеров и криптовалютный канал с честными трейдерами в качестве контроля.</w:t>
      </w:r>
    </w:p>
    <w:p>
      <w:pPr>
        <w:spacing w:after="120"/>
        <w:ind w:left="567"/>
        <w:jc w:val="both"/>
      </w:pPr>
      <w:r>
        <w:rPr>
          <w:rFonts w:ascii="Times New Roman" w:hAnsi="Times New Roman"/>
          <w:b w:val="0"/>
          <w:sz w:val="28"/>
        </w:rPr>
        <w:t>6. Реализована методология измерения, включающая purged walk-forward, потолки объектов анализа и объявленную заранее лестницу из пяти миров.</w:t>
      </w:r>
    </w:p>
    <w:p>
      <w:pPr>
        <w:spacing w:after="120"/>
        <w:ind w:left="567"/>
        <w:jc w:val="both"/>
      </w:pPr>
      <w:r>
        <w:rPr>
          <w:rFonts w:ascii="Times New Roman" w:hAnsi="Times New Roman"/>
          <w:b w:val="0"/>
          <w:sz w:val="28"/>
        </w:rPr>
        <w:t>7. Измерена работоспособность системы при доле мошенников от 6,9 % до 0,1 %, а также цена уклонения по каждому параметру в отдельности.</w:t>
      </w:r>
    </w:p>
    <w:p>
      <w:pPr>
        <w:spacing w:after="120"/>
        <w:ind w:firstLine="709"/>
        <w:jc w:val="both"/>
      </w:pPr>
      <w:r>
        <w:rPr>
          <w:rFonts w:ascii="Times New Roman" w:hAnsi="Times New Roman"/>
          <w:b w:val="0"/>
          <w:sz w:val="28"/>
        </w:rPr>
        <w:t>Основные выводы работы формулируются следующим образом.</w:t>
      </w:r>
    </w:p>
    <w:p>
      <w:pPr>
        <w:spacing w:after="120"/>
        <w:ind w:firstLine="709"/>
        <w:jc w:val="both"/>
      </w:pPr>
      <w:r>
        <w:rPr>
          <w:rFonts w:ascii="Times New Roman" w:hAnsi="Times New Roman"/>
          <w:b w:val="0"/>
          <w:sz w:val="28"/>
        </w:rPr>
        <w:t>Во-первых, топологическая гипотеза подтверждена в пределах контролируемой среды: детектор, не использующий ни одного атрибута личности и опирающийся исключительно на форму денежного потока, помещает в верхние 10 % ранжированного списка только настоящих дропперов и достигает показателя 0,959 против 0,761 у базовой линии, воспроизводящей действующие критерии.</w:t>
      </w:r>
    </w:p>
    <w:p>
      <w:pPr>
        <w:spacing w:after="120"/>
        <w:ind w:firstLine="709"/>
        <w:jc w:val="both"/>
      </w:pPr>
      <w:r>
        <w:rPr>
          <w:rFonts w:ascii="Times New Roman" w:hAnsi="Times New Roman"/>
          <w:b w:val="0"/>
          <w:sz w:val="28"/>
        </w:rPr>
        <w:t>Во-вторых, установлено, что общепринятая метрика ранжирования практически не реагирует на редкость мошенничества, тогда как операционная нагрузка на аналитика при этом возрастает в восемьдесят раз. Это означает, что публикуемые в предметной области показатели качества не позволяют судить о применимости системы, если не указана доля мошенников в выборке.</w:t>
      </w:r>
    </w:p>
    <w:p>
      <w:pPr>
        <w:spacing w:after="120"/>
        <w:ind w:firstLine="709"/>
        <w:jc w:val="both"/>
      </w:pPr>
      <w:r>
        <w:rPr>
          <w:rFonts w:ascii="Times New Roman" w:hAnsi="Times New Roman"/>
          <w:b w:val="0"/>
          <w:sz w:val="28"/>
        </w:rPr>
        <w:t>В-третьих, показано, что при реальной редкости выигрыш даёт не усложнение модели, а смена политики отбора дел: переход от фиксированного бюджета проверки к порогу, выбранному под заданную полноту, позволяет обнаруживать половину мошенников ценой 0,6 сигнала на тысячу счетов при доле подтверждений 86 %.</w:t>
      </w:r>
    </w:p>
    <w:p>
      <w:pPr>
        <w:spacing w:after="120"/>
        <w:ind w:firstLine="709"/>
        <w:jc w:val="both"/>
      </w:pPr>
      <w:r>
        <w:rPr>
          <w:rFonts w:ascii="Times New Roman" w:hAnsi="Times New Roman"/>
          <w:b w:val="0"/>
          <w:sz w:val="28"/>
        </w:rPr>
        <w:t>В-четвёртых, измерена цена уклонения и показано, что она различна для двух объектов анализа: групповой поиск разрушается при трёх независимых источниках финансирования, тогда как счётный уровень не реагирует на уклонение вовсе. Из этого следует, что промышленная система обязана работать на обоих уровнях одновременно, поскольку организатор, оплативший сокрытие, выводит из строя именно более сильный из них.</w:t>
      </w:r>
    </w:p>
    <w:p>
      <w:pPr>
        <w:spacing w:after="120"/>
        <w:ind w:firstLine="709"/>
        <w:jc w:val="both"/>
      </w:pPr>
      <w:r>
        <w:rPr>
          <w:rFonts w:ascii="Times New Roman" w:hAnsi="Times New Roman"/>
          <w:b w:val="0"/>
          <w:sz w:val="28"/>
        </w:rPr>
        <w:t>Практическая значимость работы подтверждена участием прототипа системы в республиканском хакатоне по финансовой безопасности, организованном Департаментом экономических расследований Республики Казахстан в феврале 2026 года, где проект вошёл в число пяти лучших решений.</w:t>
      </w:r>
    </w:p>
    <w:p>
      <w:pPr>
        <w:spacing w:after="120"/>
        <w:ind w:firstLine="709"/>
        <w:jc w:val="both"/>
      </w:pPr>
      <w:r>
        <w:rPr>
          <w:rFonts w:ascii="Times New Roman" w:hAnsi="Times New Roman"/>
          <w:b w:val="0"/>
          <w:sz w:val="28"/>
        </w:rPr>
        <w:t>Рекомендации по дальнейшему использованию результатов.</w:t>
      </w:r>
    </w:p>
    <w:p>
      <w:pPr>
        <w:spacing w:after="120"/>
        <w:ind w:left="567"/>
        <w:jc w:val="both"/>
      </w:pPr>
      <w:r>
        <w:rPr>
          <w:rFonts w:ascii="Times New Roman" w:hAnsi="Times New Roman"/>
          <w:b w:val="0"/>
          <w:sz w:val="28"/>
        </w:rPr>
        <w:t>1. Провести внешнюю валидацию на публичном размеченном наборе данных Elliptic, для которого в проекте уже реализован адаптер, и сопоставить структурные результаты с полученными в контролируемой среде.</w:t>
      </w:r>
    </w:p>
    <w:p>
      <w:pPr>
        <w:spacing w:after="120"/>
        <w:ind w:left="567"/>
        <w:jc w:val="both"/>
      </w:pPr>
      <w:r>
        <w:rPr>
          <w:rFonts w:ascii="Times New Roman" w:hAnsi="Times New Roman"/>
          <w:b w:val="0"/>
          <w:sz w:val="28"/>
        </w:rPr>
        <w:t>2. Развернуть консорциум федеративного обучения между банками второго уровня, что позволит обучать общую модель на паттернах всех участников без передачи сырых данных клиентов в единый центр, в соответствии с требованиями законодательства о персональных данных и банковской тайне [13].</w:t>
      </w:r>
    </w:p>
    <w:p>
      <w:pPr>
        <w:spacing w:after="120"/>
        <w:ind w:left="567"/>
        <w:jc w:val="both"/>
      </w:pPr>
      <w:r>
        <w:rPr>
          <w:rFonts w:ascii="Times New Roman" w:hAnsi="Times New Roman"/>
          <w:b w:val="0"/>
          <w:sz w:val="28"/>
        </w:rPr>
        <w:t>3. Интегрировать систему с платформой цифрового тенге: программируемые свойства смарт-контрактов позволят переводить операции, помеченные как высокорисковые, в обременённое состояние до получения подтверждения владельца [15].</w:t>
      </w:r>
    </w:p>
    <w:p>
      <w:pPr>
        <w:spacing w:after="120"/>
        <w:ind w:left="567"/>
        <w:jc w:val="both"/>
      </w:pPr>
      <w:r>
        <w:rPr>
          <w:rFonts w:ascii="Times New Roman" w:hAnsi="Times New Roman"/>
          <w:b w:val="0"/>
          <w:sz w:val="28"/>
        </w:rPr>
        <w:t>4. Внедрить аппарат объяснимости на основе значений Шепли для формирования юридически значимого обоснования блокировок, что является обязательным условием применения решений подобного класса в надзорной практике.</w:t>
      </w:r>
    </w:p>
    <w:p>
      <w:pPr>
        <w:spacing w:after="120"/>
        <w:ind w:left="567"/>
        <w:jc w:val="both"/>
      </w:pPr>
      <w:r>
        <w:rPr>
          <w:rFonts w:ascii="Times New Roman" w:hAnsi="Times New Roman"/>
          <w:b w:val="0"/>
          <w:sz w:val="28"/>
        </w:rPr>
        <w:t>5. Расширить лестницу миров криптовалютными типологиями и повторить измерения редкости на десяти независимых запусках для сужения доверительных интервалов.</w:t>
      </w:r>
    </w:p>
    <w:p>
      <w:r>
        <w:br w:type="page"/>
      </w:r>
    </w:p>
    <w:p>
      <w:pPr>
        <w:pStyle w:val="Heading1"/>
        <w:keepNext/>
        <w:spacing w:before="240" w:after="200"/>
        <w:jc w:val="center"/>
      </w:pPr>
      <w:r>
        <w:rPr>
          <w:rFonts w:ascii="Times New Roman" w:hAnsi="Times New Roman"/>
          <w:b/>
          <w:sz w:val="30"/>
        </w:rPr>
        <w:t>СПИСОК ИСПОЛЬЗОВАННЫХ ИСТОЧНИКОВ И ЛИТЕРАТУРЫ</w:t>
      </w:r>
    </w:p>
    <w:p>
      <w:pPr>
        <w:spacing w:after="80"/>
        <w:ind w:left="425"/>
        <w:jc w:val="both"/>
      </w:pPr>
      <w:r>
        <w:rPr>
          <w:rFonts w:ascii="Times New Roman" w:hAnsi="Times New Roman"/>
          <w:b w:val="0"/>
          <w:sz w:val="28"/>
        </w:rPr>
        <w:t>1. Постановление Правления Национального Банка Республики Казахстан от 25 августа 2025 года № 54 «Об утверждении Правил организации деятельности центра обмена данными по платежным транзакциям с признаками мошенничества». — Астана: Әділет, 2026. — С. 3–12.</w:t>
      </w:r>
    </w:p>
    <w:p>
      <w:pPr>
        <w:spacing w:after="80"/>
        <w:ind w:left="425"/>
        <w:jc w:val="both"/>
      </w:pPr>
      <w:r>
        <w:rPr>
          <w:rFonts w:ascii="Times New Roman" w:hAnsi="Times New Roman"/>
          <w:b w:val="0"/>
          <w:sz w:val="28"/>
        </w:rPr>
        <w:t>2. Закон Республики Казахстан «О платежах и платежных системах» (статья 25-1. Противодействие несанкционированным платежным операциям). — Астана: Министерство юстиции РК, 2024. — С. 14–18.</w:t>
      </w:r>
    </w:p>
    <w:p>
      <w:pPr>
        <w:spacing w:after="80"/>
        <w:ind w:left="425"/>
        <w:jc w:val="both"/>
      </w:pPr>
      <w:r>
        <w:rPr>
          <w:rFonts w:ascii="Times New Roman" w:hAnsi="Times New Roman"/>
          <w:b w:val="0"/>
          <w:sz w:val="28"/>
        </w:rPr>
        <w:t>3. Официальный ежегодный отчет Национальной платежной корпорации Национального Банка Республики Казахстан «Развитие цифровой финансовой инфраструктуры (NDFI) и результаты запуска межбанковского Антифрод-центра». — Алматы: НПК РК, 2025. — 145 с.</w:t>
      </w:r>
    </w:p>
    <w:p>
      <w:pPr>
        <w:spacing w:after="80"/>
        <w:ind w:left="425"/>
        <w:jc w:val="both"/>
      </w:pPr>
      <w:r>
        <w:rPr>
          <w:rFonts w:ascii="Times New Roman" w:hAnsi="Times New Roman"/>
          <w:b w:val="0"/>
          <w:sz w:val="28"/>
        </w:rPr>
        <w:t>4. Akoglu L., Tong H., Koutra D. Graph-based anomaly detection and description: a survey // Data Mining and Knowledge Discovery. — 2015. — Vol. 29, No. 3. — P. 626–688. DOI: 10.1007/s10618-014-0354-2.</w:t>
      </w:r>
    </w:p>
    <w:p>
      <w:pPr>
        <w:spacing w:after="80"/>
        <w:ind w:left="425"/>
        <w:jc w:val="both"/>
      </w:pPr>
      <w:r>
        <w:rPr>
          <w:rFonts w:ascii="Times New Roman" w:hAnsi="Times New Roman"/>
          <w:b w:val="0"/>
          <w:sz w:val="28"/>
        </w:rPr>
        <w:t>5. Tariq H., Hassani M. Topology-Agnostic Detection of Temporal Money Laundering Flows in Billion-Scale Transactions // Proceedings of ECML PKDD. — Turin: Springer, 2023. — P. 214–230. DOI: 10.1007/978-3-031-43412-2_14.</w:t>
      </w:r>
    </w:p>
    <w:p>
      <w:pPr>
        <w:spacing w:after="80"/>
        <w:ind w:left="425"/>
        <w:jc w:val="both"/>
      </w:pPr>
      <w:r>
        <w:rPr>
          <w:rFonts w:ascii="Times New Roman" w:hAnsi="Times New Roman"/>
          <w:b w:val="0"/>
          <w:sz w:val="28"/>
        </w:rPr>
        <w:t>6. Trieu H. H. Graph Neural Network with One-side Edge Sampling for Fraud Detection // arXiv preprint arXiv:2601.06800. — 2026. — P. 1–12. DOI: 10.48550/arXiv.2601.06800.</w:t>
      </w:r>
    </w:p>
    <w:p>
      <w:pPr>
        <w:spacing w:after="80"/>
        <w:ind w:left="425"/>
        <w:jc w:val="both"/>
      </w:pPr>
      <w:r>
        <w:rPr>
          <w:rFonts w:ascii="Times New Roman" w:hAnsi="Times New Roman"/>
          <w:b w:val="0"/>
          <w:sz w:val="28"/>
        </w:rPr>
        <w:t>7. Cheng D., Zou Y., Xiang S., Jiang C. Graph Neural Networks for Financial Fraud Detection: A Review // Frontiers of Computer Science. — 2025. — Vol. 19, No. 1. — P. 128–145. DOI: 10.1007/s11704-024-40474-y.</w:t>
      </w:r>
    </w:p>
    <w:p>
      <w:pPr>
        <w:spacing w:after="80"/>
        <w:ind w:left="425"/>
        <w:jc w:val="both"/>
      </w:pPr>
      <w:r>
        <w:rPr>
          <w:rFonts w:ascii="Times New Roman" w:hAnsi="Times New Roman"/>
          <w:b w:val="0"/>
          <w:sz w:val="28"/>
        </w:rPr>
        <w:t>8. Li Z., Xiong H., Liu Y., Zhou A. Detecting blackhole and volcano patterns in directed networks // Proceedings of the 10th IEEE International Conference on Data Mining (ICDM). — Sydney: IEEE Computer Society, 2010. — P. 294–303. DOI: 10.1109/ICDM.2010.141.</w:t>
      </w:r>
    </w:p>
    <w:p>
      <w:pPr>
        <w:spacing w:after="80"/>
        <w:ind w:left="425"/>
        <w:jc w:val="both"/>
      </w:pPr>
      <w:r>
        <w:rPr>
          <w:rFonts w:ascii="Times New Roman" w:hAnsi="Times New Roman"/>
          <w:b w:val="0"/>
          <w:sz w:val="28"/>
        </w:rPr>
        <w:t>9. Ke G., Meng Q., Finley T., Wang T. LightGBM: A Highly Efficient Gradient Boosting Decision Tree // Advances in Neural Information Processing Systems. — 2017. — Vol. 30. — P. 3149–3157.</w:t>
      </w:r>
    </w:p>
    <w:p>
      <w:pPr>
        <w:spacing w:after="80"/>
        <w:ind w:left="425"/>
        <w:jc w:val="both"/>
      </w:pPr>
      <w:r>
        <w:rPr>
          <w:rFonts w:ascii="Times New Roman" w:hAnsi="Times New Roman"/>
          <w:b w:val="0"/>
          <w:sz w:val="28"/>
        </w:rPr>
        <w:t>10. Weber M. et al. Anti-Money Laundering in Bitcoin: Experimenting with Graph Convolutional Networks for Financial Forensics // KDD Workshop on Anomaly Detection in Finance. — Anchorage: ACM, 2019. — P. 1–10.</w:t>
      </w:r>
    </w:p>
    <w:p>
      <w:pPr>
        <w:spacing w:after="80"/>
        <w:ind w:left="425"/>
        <w:jc w:val="both"/>
      </w:pPr>
      <w:r>
        <w:rPr>
          <w:rFonts w:ascii="Times New Roman" w:hAnsi="Times New Roman"/>
          <w:b w:val="0"/>
          <w:sz w:val="28"/>
        </w:rPr>
        <w:t>11. Hawk AI Technical Whitepaper. Real-time Entity Resolution and Entity Graphs in Financial Crime Compliance. — Munich, 2025. — P. 8–15.</w:t>
      </w:r>
    </w:p>
    <w:p>
      <w:pPr>
        <w:spacing w:after="80"/>
        <w:ind w:left="425"/>
        <w:jc w:val="both"/>
      </w:pPr>
      <w:r>
        <w:rPr>
          <w:rFonts w:ascii="Times New Roman" w:hAnsi="Times New Roman"/>
          <w:b w:val="0"/>
          <w:sz w:val="28"/>
        </w:rPr>
        <w:t>12. Lucinity. The Role of Entity Resolution in FinCrime Investigations: From Fuzzy Matches to Precise Risk Signals // Lucinity Compliance Insights. — Reykjavik, 2025. — P. 3–7.</w:t>
      </w:r>
    </w:p>
    <w:p>
      <w:pPr>
        <w:spacing w:after="80"/>
        <w:ind w:left="425"/>
        <w:jc w:val="both"/>
      </w:pPr>
      <w:r>
        <w:rPr>
          <w:rFonts w:ascii="Times New Roman" w:hAnsi="Times New Roman"/>
          <w:b w:val="0"/>
          <w:sz w:val="28"/>
        </w:rPr>
        <w:t>13. Закон Республики Казахстан «О персональных данных и их защите» (с изменениями и дополнениями по состоянию на 2025 г.). — Астана: МЦРИАП РК, 2025. — С. 10–14.</w:t>
      </w:r>
    </w:p>
    <w:p>
      <w:pPr>
        <w:spacing w:after="80"/>
        <w:ind w:left="425"/>
        <w:jc w:val="both"/>
      </w:pPr>
      <w:r>
        <w:rPr>
          <w:rFonts w:ascii="Times New Roman" w:hAnsi="Times New Roman"/>
          <w:b w:val="0"/>
          <w:sz w:val="28"/>
        </w:rPr>
        <w:t>14. Оценка рисков отмывания доходов и финансирования терроризма в Республике Казахстан: совместный отчет Агентства по финансовому мониторингу РК и Национального Банка РК. — Астана, 2024. — С. 45–52.</w:t>
      </w:r>
    </w:p>
    <w:p>
      <w:pPr>
        <w:spacing w:after="80"/>
        <w:ind w:left="425"/>
        <w:jc w:val="both"/>
      </w:pPr>
      <w:r>
        <w:rPr>
          <w:rFonts w:ascii="Times New Roman" w:hAnsi="Times New Roman"/>
          <w:b w:val="0"/>
          <w:sz w:val="28"/>
        </w:rPr>
        <w:t>15. Официальный отчет АО «Национальная платежная корпорация Казахстана» «Результаты реализации второй фазы проекта Цифровой тенге». — Алматы: НПК РК, 2024. — 98 с.</w:t>
      </w:r>
    </w:p>
    <w:p>
      <w:pPr>
        <w:spacing w:after="80"/>
        <w:ind w:left="425"/>
        <w:jc w:val="both"/>
      </w:pPr>
      <w:r>
        <w:rPr>
          <w:rFonts w:ascii="Times New Roman" w:hAnsi="Times New Roman"/>
          <w:b w:val="0"/>
          <w:sz w:val="28"/>
        </w:rPr>
        <w:t>16. Lopez de Prado M. Advances in Financial Machine Learning. — Hoboken: John Wiley &amp; Sons, 2018. — P. 103–110 (глава 7: Cross-Validation in Finance, методология purged walk-forward).</w:t>
      </w:r>
    </w:p>
    <w:p>
      <w:pPr>
        <w:spacing w:after="80"/>
        <w:ind w:left="425"/>
        <w:jc w:val="both"/>
      </w:pPr>
      <w:r>
        <w:rPr>
          <w:rFonts w:ascii="Times New Roman" w:hAnsi="Times New Roman"/>
          <w:b w:val="0"/>
          <w:sz w:val="28"/>
        </w:rPr>
        <w:t>17. Saito T., Rehmsmeier M. The precision-recall plot is more informative than the ROC plot when evaluating binary classifiers on imbalanced datasets // PLOS ONE. — 2015. — Vol. 10, No. 3. — e0118432. DOI: 10.1371/journal.pone.0118432.</w:t>
      </w:r>
    </w:p>
    <w:p>
      <w:r>
        <w:br w:type="page"/>
      </w:r>
    </w:p>
    <w:p>
      <w:pPr>
        <w:pStyle w:val="Heading1"/>
        <w:keepNext/>
        <w:spacing w:before="240" w:after="200"/>
        <w:jc w:val="center"/>
      </w:pPr>
      <w:r>
        <w:rPr>
          <w:rFonts w:ascii="Times New Roman" w:hAnsi="Times New Roman"/>
          <w:b/>
          <w:sz w:val="30"/>
        </w:rPr>
        <w:t>ДНЕВНИК НАУЧНО-ИССЛЕДОВАТЕЛЬСКОГО ПРОЕКТА</w:t>
      </w:r>
    </w:p>
    <w:p>
      <w:pPr>
        <w:spacing w:after="120"/>
        <w:ind w:firstLine="709"/>
        <w:jc w:val="both"/>
      </w:pPr>
      <w:r>
        <w:rPr>
          <w:rFonts w:ascii="Times New Roman" w:hAnsi="Times New Roman"/>
          <w:b w:val="0"/>
          <w:sz w:val="28"/>
        </w:rPr>
        <w:t>Ниже приведены основные этапы выполнения работы. Каждая запись соответствует зафиксированному в системе контроля версий состоянию проекта, что позволяет проверить как последовательность работ, так и авторство изменений.</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after="0" w:line="240" w:lineRule="auto"/>
              <w:jc w:val="center"/>
            </w:pPr>
            <w:r/>
            <w:r>
              <w:rPr>
                <w:rFonts w:ascii="Times New Roman" w:hAnsi="Times New Roman"/>
                <w:b/>
                <w:sz w:val="24"/>
              </w:rPr>
              <w:t>Этап</w:t>
            </w:r>
          </w:p>
        </w:tc>
        <w:tc>
          <w:tcPr>
            <w:tcW w:type="dxa" w:w="3230"/>
          </w:tcPr>
          <w:p>
            <w:pPr>
              <w:spacing w:after="0" w:line="240" w:lineRule="auto"/>
              <w:jc w:val="center"/>
            </w:pPr>
            <w:r/>
            <w:r>
              <w:rPr>
                <w:rFonts w:ascii="Times New Roman" w:hAnsi="Times New Roman"/>
                <w:b/>
                <w:sz w:val="24"/>
              </w:rPr>
              <w:t>Содержание работы</w:t>
            </w:r>
          </w:p>
        </w:tc>
        <w:tc>
          <w:tcPr>
            <w:tcW w:type="dxa" w:w="3230"/>
          </w:tcPr>
          <w:p>
            <w:pPr>
              <w:spacing w:after="0" w:line="240" w:lineRule="auto"/>
              <w:jc w:val="center"/>
            </w:pPr>
            <w:r/>
            <w:r>
              <w:rPr>
                <w:rFonts w:ascii="Times New Roman" w:hAnsi="Times New Roman"/>
                <w:b/>
                <w:sz w:val="24"/>
              </w:rPr>
              <w:t>Результат</w:t>
            </w:r>
          </w:p>
        </w:tc>
      </w:tr>
      <w:tr>
        <w:tc>
          <w:tcPr>
            <w:tcW w:type="dxa" w:w="3230"/>
          </w:tcPr>
          <w:p>
            <w:pPr>
              <w:spacing w:after="0" w:line="240" w:lineRule="auto"/>
              <w:jc w:val="left"/>
            </w:pPr>
            <w:r/>
            <w:r>
              <w:rPr>
                <w:rFonts w:ascii="Times New Roman" w:hAnsi="Times New Roman"/>
                <w:b w:val="0"/>
                <w:sz w:val="24"/>
              </w:rPr>
              <w:t>1</w:t>
            </w:r>
          </w:p>
        </w:tc>
        <w:tc>
          <w:tcPr>
            <w:tcW w:type="dxa" w:w="3230"/>
          </w:tcPr>
          <w:p>
            <w:pPr>
              <w:spacing w:after="0" w:line="240" w:lineRule="auto"/>
              <w:jc w:val="center"/>
            </w:pPr>
            <w:r/>
            <w:r>
              <w:rPr>
                <w:rFonts w:ascii="Times New Roman" w:hAnsi="Times New Roman"/>
                <w:b w:val="0"/>
                <w:sz w:val="24"/>
              </w:rPr>
              <w:t>Анализ типологий мошенничества рынка Казахстана и действующих критериев</w:t>
            </w:r>
          </w:p>
        </w:tc>
        <w:tc>
          <w:tcPr>
            <w:tcW w:type="dxa" w:w="3230"/>
          </w:tcPr>
          <w:p>
            <w:pPr>
              <w:spacing w:after="0" w:line="240" w:lineRule="auto"/>
              <w:jc w:val="center"/>
            </w:pPr>
            <w:r/>
            <w:r>
              <w:rPr>
                <w:rFonts w:ascii="Times New Roman" w:hAnsi="Times New Roman"/>
                <w:b w:val="0"/>
                <w:sz w:val="24"/>
              </w:rPr>
              <w:t>Формализованы пять структурных подписей</w:t>
            </w:r>
          </w:p>
        </w:tc>
      </w:tr>
      <w:tr>
        <w:tc>
          <w:tcPr>
            <w:tcW w:type="dxa" w:w="3230"/>
          </w:tcPr>
          <w:p>
            <w:pPr>
              <w:spacing w:after="0" w:line="240" w:lineRule="auto"/>
              <w:jc w:val="left"/>
            </w:pPr>
            <w:r/>
            <w:r>
              <w:rPr>
                <w:rFonts w:ascii="Times New Roman" w:hAnsi="Times New Roman"/>
                <w:b w:val="0"/>
                <w:sz w:val="24"/>
              </w:rPr>
              <w:t>2</w:t>
            </w:r>
          </w:p>
        </w:tc>
        <w:tc>
          <w:tcPr>
            <w:tcW w:type="dxa" w:w="3230"/>
          </w:tcPr>
          <w:p>
            <w:pPr>
              <w:spacing w:after="0" w:line="240" w:lineRule="auto"/>
              <w:jc w:val="center"/>
            </w:pPr>
            <w:r/>
            <w:r>
              <w:rPr>
                <w:rFonts w:ascii="Times New Roman" w:hAnsi="Times New Roman"/>
                <w:b w:val="0"/>
                <w:sz w:val="24"/>
              </w:rPr>
              <w:t>Разработка симулятора финансового мира</w:t>
            </w:r>
          </w:p>
        </w:tc>
        <w:tc>
          <w:tcPr>
            <w:tcW w:type="dxa" w:w="3230"/>
          </w:tcPr>
          <w:p>
            <w:pPr>
              <w:spacing w:after="0" w:line="240" w:lineRule="auto"/>
              <w:jc w:val="center"/>
            </w:pPr>
            <w:r/>
            <w:r>
              <w:rPr>
                <w:rFonts w:ascii="Times New Roman" w:hAnsi="Times New Roman"/>
                <w:b w:val="0"/>
                <w:sz w:val="24"/>
              </w:rPr>
              <w:t>Восемь честных популяций, четыре трудных отрицательных</w:t>
            </w:r>
          </w:p>
        </w:tc>
      </w:tr>
      <w:tr>
        <w:tc>
          <w:tcPr>
            <w:tcW w:type="dxa" w:w="3230"/>
          </w:tcPr>
          <w:p>
            <w:pPr>
              <w:spacing w:after="0" w:line="240" w:lineRule="auto"/>
              <w:jc w:val="left"/>
            </w:pPr>
            <w:r/>
            <w:r>
              <w:rPr>
                <w:rFonts w:ascii="Times New Roman" w:hAnsi="Times New Roman"/>
                <w:b w:val="0"/>
                <w:sz w:val="24"/>
              </w:rPr>
              <w:t>3</w:t>
            </w:r>
          </w:p>
        </w:tc>
        <w:tc>
          <w:tcPr>
            <w:tcW w:type="dxa" w:w="3230"/>
          </w:tcPr>
          <w:p>
            <w:pPr>
              <w:spacing w:after="0" w:line="240" w:lineRule="auto"/>
              <w:jc w:val="center"/>
            </w:pPr>
            <w:r/>
            <w:r>
              <w:rPr>
                <w:rFonts w:ascii="Times New Roman" w:hAnsi="Times New Roman"/>
                <w:b w:val="0"/>
                <w:sz w:val="24"/>
              </w:rPr>
              <w:t>Обнаружение утечки ответа в признаки</w:t>
            </w:r>
          </w:p>
        </w:tc>
        <w:tc>
          <w:tcPr>
            <w:tcW w:type="dxa" w:w="3230"/>
          </w:tcPr>
          <w:p>
            <w:pPr>
              <w:spacing w:after="0" w:line="240" w:lineRule="auto"/>
              <w:jc w:val="center"/>
            </w:pPr>
            <w:r/>
            <w:r>
              <w:rPr>
                <w:rFonts w:ascii="Times New Roman" w:hAnsi="Times New Roman"/>
                <w:b w:val="0"/>
                <w:sz w:val="24"/>
              </w:rPr>
              <w:t>Разделены генерация событий и вычисление признаков; ROC-AUC 1,0000 → 0,81</w:t>
            </w:r>
          </w:p>
        </w:tc>
      </w:tr>
      <w:tr>
        <w:tc>
          <w:tcPr>
            <w:tcW w:type="dxa" w:w="3230"/>
          </w:tcPr>
          <w:p>
            <w:pPr>
              <w:spacing w:after="0" w:line="240" w:lineRule="auto"/>
              <w:jc w:val="left"/>
            </w:pPr>
            <w:r/>
            <w:r>
              <w:rPr>
                <w:rFonts w:ascii="Times New Roman" w:hAnsi="Times New Roman"/>
                <w:b w:val="0"/>
                <w:sz w:val="24"/>
              </w:rPr>
              <w:t>4</w:t>
            </w:r>
          </w:p>
        </w:tc>
        <w:tc>
          <w:tcPr>
            <w:tcW w:type="dxa" w:w="3230"/>
          </w:tcPr>
          <w:p>
            <w:pPr>
              <w:spacing w:after="0" w:line="240" w:lineRule="auto"/>
              <w:jc w:val="center"/>
            </w:pPr>
            <w:r/>
            <w:r>
              <w:rPr>
                <w:rFonts w:ascii="Times New Roman" w:hAnsi="Times New Roman"/>
                <w:b w:val="0"/>
                <w:sz w:val="24"/>
              </w:rPr>
              <w:t>Разработка процедуры поиска групп вслепую</w:t>
            </w:r>
          </w:p>
        </w:tc>
        <w:tc>
          <w:tcPr>
            <w:tcW w:type="dxa" w:w="3230"/>
          </w:tcPr>
          <w:p>
            <w:pPr>
              <w:spacing w:after="0" w:line="240" w:lineRule="auto"/>
              <w:jc w:val="center"/>
            </w:pPr>
            <w:r/>
            <w:r>
              <w:rPr>
                <w:rFonts w:ascii="Times New Roman" w:hAnsi="Times New Roman"/>
                <w:b w:val="0"/>
                <w:sz w:val="24"/>
              </w:rPr>
              <w:t>Введено понятие покрытия как потолка полноты</w:t>
            </w:r>
          </w:p>
        </w:tc>
      </w:tr>
      <w:tr>
        <w:tc>
          <w:tcPr>
            <w:tcW w:type="dxa" w:w="3230"/>
          </w:tcPr>
          <w:p>
            <w:pPr>
              <w:spacing w:after="0" w:line="240" w:lineRule="auto"/>
              <w:jc w:val="left"/>
            </w:pPr>
            <w:r/>
            <w:r>
              <w:rPr>
                <w:rFonts w:ascii="Times New Roman" w:hAnsi="Times New Roman"/>
                <w:b w:val="0"/>
                <w:sz w:val="24"/>
              </w:rPr>
              <w:t>5</w:t>
            </w:r>
          </w:p>
        </w:tc>
        <w:tc>
          <w:tcPr>
            <w:tcW w:type="dxa" w:w="3230"/>
          </w:tcPr>
          <w:p>
            <w:pPr>
              <w:spacing w:after="0" w:line="240" w:lineRule="auto"/>
              <w:jc w:val="center"/>
            </w:pPr>
            <w:r/>
            <w:r>
              <w:rPr>
                <w:rFonts w:ascii="Times New Roman" w:hAnsi="Times New Roman"/>
                <w:b w:val="0"/>
                <w:sz w:val="24"/>
              </w:rPr>
              <w:t>Формализация и реализация параметра W через FIFO-сопоставление</w:t>
            </w:r>
          </w:p>
        </w:tc>
        <w:tc>
          <w:tcPr>
            <w:tcW w:type="dxa" w:w="3230"/>
          </w:tcPr>
          <w:p>
            <w:pPr>
              <w:spacing w:after="0" w:line="240" w:lineRule="auto"/>
              <w:jc w:val="center"/>
            </w:pPr>
            <w:r/>
            <w:r>
              <w:rPr>
                <w:rFonts w:ascii="Times New Roman" w:hAnsi="Times New Roman"/>
                <w:b w:val="0"/>
                <w:sz w:val="24"/>
              </w:rPr>
              <w:t>Параметр в интервале [0, 1] с индивидуальным временем удержания</w:t>
            </w:r>
          </w:p>
        </w:tc>
      </w:tr>
      <w:tr>
        <w:tc>
          <w:tcPr>
            <w:tcW w:type="dxa" w:w="3230"/>
          </w:tcPr>
          <w:p>
            <w:pPr>
              <w:spacing w:after="0" w:line="240" w:lineRule="auto"/>
              <w:jc w:val="left"/>
            </w:pPr>
            <w:r/>
            <w:r>
              <w:rPr>
                <w:rFonts w:ascii="Times New Roman" w:hAnsi="Times New Roman"/>
                <w:b w:val="0"/>
                <w:sz w:val="24"/>
              </w:rPr>
              <w:t>6</w:t>
            </w:r>
          </w:p>
        </w:tc>
        <w:tc>
          <w:tcPr>
            <w:tcW w:type="dxa" w:w="3230"/>
          </w:tcPr>
          <w:p>
            <w:pPr>
              <w:spacing w:after="0" w:line="240" w:lineRule="auto"/>
              <w:jc w:val="center"/>
            </w:pPr>
            <w:r/>
            <w:r>
              <w:rPr>
                <w:rFonts w:ascii="Times New Roman" w:hAnsi="Times New Roman"/>
                <w:b w:val="0"/>
                <w:sz w:val="24"/>
              </w:rPr>
              <w:t>Проверка метода одностороннего отбора рёбер (OES)</w:t>
            </w:r>
          </w:p>
        </w:tc>
        <w:tc>
          <w:tcPr>
            <w:tcW w:type="dxa" w:w="3230"/>
          </w:tcPr>
          <w:p>
            <w:pPr>
              <w:spacing w:after="0" w:line="240" w:lineRule="auto"/>
              <w:jc w:val="center"/>
            </w:pPr>
            <w:r/>
            <w:r>
              <w:rPr>
                <w:rFonts w:ascii="Times New Roman" w:hAnsi="Times New Roman"/>
                <w:b w:val="0"/>
                <w:sz w:val="24"/>
              </w:rPr>
              <w:t>Отрицательный результат: сохраняется 0,7206 событий; вызовы удалены</w:t>
            </w:r>
          </w:p>
        </w:tc>
      </w:tr>
      <w:tr>
        <w:tc>
          <w:tcPr>
            <w:tcW w:type="dxa" w:w="3230"/>
          </w:tcPr>
          <w:p>
            <w:pPr>
              <w:spacing w:after="0" w:line="240" w:lineRule="auto"/>
              <w:jc w:val="left"/>
            </w:pPr>
            <w:r/>
            <w:r>
              <w:rPr>
                <w:rFonts w:ascii="Times New Roman" w:hAnsi="Times New Roman"/>
                <w:b w:val="0"/>
                <w:sz w:val="24"/>
              </w:rPr>
              <w:t>7</w:t>
            </w:r>
          </w:p>
        </w:tc>
        <w:tc>
          <w:tcPr>
            <w:tcW w:type="dxa" w:w="3230"/>
          </w:tcPr>
          <w:p>
            <w:pPr>
              <w:spacing w:after="0" w:line="240" w:lineRule="auto"/>
              <w:jc w:val="center"/>
            </w:pPr>
            <w:r/>
            <w:r>
              <w:rPr>
                <w:rFonts w:ascii="Times New Roman" w:hAnsi="Times New Roman"/>
                <w:b w:val="0"/>
                <w:sz w:val="24"/>
              </w:rPr>
              <w:t>Введение purged walk-forward и потолков объектов анализа</w:t>
            </w:r>
          </w:p>
        </w:tc>
        <w:tc>
          <w:tcPr>
            <w:tcW w:type="dxa" w:w="3230"/>
          </w:tcPr>
          <w:p>
            <w:pPr>
              <w:spacing w:after="0" w:line="240" w:lineRule="auto"/>
              <w:jc w:val="center"/>
            </w:pPr>
            <w:r/>
            <w:r>
              <w:rPr>
                <w:rFonts w:ascii="Times New Roman" w:hAnsi="Times New Roman"/>
                <w:b w:val="0"/>
                <w:sz w:val="24"/>
              </w:rPr>
              <w:t>Исключена утечка данных из будущего</w:t>
            </w:r>
          </w:p>
        </w:tc>
      </w:tr>
      <w:tr>
        <w:tc>
          <w:tcPr>
            <w:tcW w:type="dxa" w:w="3230"/>
          </w:tcPr>
          <w:p>
            <w:pPr>
              <w:spacing w:after="0" w:line="240" w:lineRule="auto"/>
              <w:jc w:val="left"/>
            </w:pPr>
            <w:r/>
            <w:r>
              <w:rPr>
                <w:rFonts w:ascii="Times New Roman" w:hAnsi="Times New Roman"/>
                <w:b w:val="0"/>
                <w:sz w:val="24"/>
              </w:rPr>
              <w:t>8</w:t>
            </w:r>
          </w:p>
        </w:tc>
        <w:tc>
          <w:tcPr>
            <w:tcW w:type="dxa" w:w="3230"/>
          </w:tcPr>
          <w:p>
            <w:pPr>
              <w:spacing w:after="0" w:line="240" w:lineRule="auto"/>
              <w:jc w:val="center"/>
            </w:pPr>
            <w:r/>
            <w:r>
              <w:rPr>
                <w:rFonts w:ascii="Times New Roman" w:hAnsi="Times New Roman"/>
                <w:b w:val="0"/>
                <w:sz w:val="24"/>
              </w:rPr>
              <w:t>Построение лестницы из пяти миров</w:t>
            </w:r>
          </w:p>
        </w:tc>
        <w:tc>
          <w:tcPr>
            <w:tcW w:type="dxa" w:w="3230"/>
          </w:tcPr>
          <w:p>
            <w:pPr>
              <w:spacing w:after="0" w:line="240" w:lineRule="auto"/>
              <w:jc w:val="center"/>
            </w:pPr>
            <w:r/>
            <w:r>
              <w:rPr>
                <w:rFonts w:ascii="Times New Roman" w:hAnsi="Times New Roman"/>
                <w:b w:val="0"/>
                <w:sz w:val="24"/>
              </w:rPr>
              <w:t>Сложность объявлена до прогонов, показаны все ступени</w:t>
            </w:r>
          </w:p>
        </w:tc>
      </w:tr>
      <w:tr>
        <w:tc>
          <w:tcPr>
            <w:tcW w:type="dxa" w:w="3230"/>
          </w:tcPr>
          <w:p>
            <w:pPr>
              <w:spacing w:after="0" w:line="240" w:lineRule="auto"/>
              <w:jc w:val="left"/>
            </w:pPr>
            <w:r/>
            <w:r>
              <w:rPr>
                <w:rFonts w:ascii="Times New Roman" w:hAnsi="Times New Roman"/>
                <w:b w:val="0"/>
                <w:sz w:val="24"/>
              </w:rPr>
              <w:t>9</w:t>
            </w:r>
          </w:p>
        </w:tc>
        <w:tc>
          <w:tcPr>
            <w:tcW w:type="dxa" w:w="3230"/>
          </w:tcPr>
          <w:p>
            <w:pPr>
              <w:spacing w:after="0" w:line="240" w:lineRule="auto"/>
              <w:jc w:val="center"/>
            </w:pPr>
            <w:r/>
            <w:r>
              <w:rPr>
                <w:rFonts w:ascii="Times New Roman" w:hAnsi="Times New Roman"/>
                <w:b w:val="0"/>
                <w:sz w:val="24"/>
              </w:rPr>
              <w:t>Обнаружение дефекта первой лестницы</w:t>
            </w:r>
          </w:p>
        </w:tc>
        <w:tc>
          <w:tcPr>
            <w:tcW w:type="dxa" w:w="3230"/>
          </w:tcPr>
          <w:p>
            <w:pPr>
              <w:spacing w:after="0" w:line="240" w:lineRule="auto"/>
              <w:jc w:val="center"/>
            </w:pPr>
            <w:r/>
            <w:r>
              <w:rPr>
                <w:rFonts w:ascii="Times New Roman" w:hAnsi="Times New Roman"/>
                <w:b w:val="0"/>
                <w:sz w:val="24"/>
              </w:rPr>
              <w:t>Мир на 96 % из мошенников; правило закреплено тестом</w:t>
            </w:r>
          </w:p>
        </w:tc>
      </w:tr>
      <w:tr>
        <w:tc>
          <w:tcPr>
            <w:tcW w:type="dxa" w:w="3230"/>
          </w:tcPr>
          <w:p>
            <w:pPr>
              <w:spacing w:after="0" w:line="240" w:lineRule="auto"/>
              <w:jc w:val="left"/>
            </w:pPr>
            <w:r/>
            <w:r>
              <w:rPr>
                <w:rFonts w:ascii="Times New Roman" w:hAnsi="Times New Roman"/>
                <w:b w:val="0"/>
                <w:sz w:val="24"/>
              </w:rPr>
              <w:t>10</w:t>
            </w:r>
          </w:p>
        </w:tc>
        <w:tc>
          <w:tcPr>
            <w:tcW w:type="dxa" w:w="3230"/>
          </w:tcPr>
          <w:p>
            <w:pPr>
              <w:spacing w:after="0" w:line="240" w:lineRule="auto"/>
              <w:jc w:val="center"/>
            </w:pPr>
            <w:r/>
            <w:r>
              <w:rPr>
                <w:rFonts w:ascii="Times New Roman" w:hAnsi="Times New Roman"/>
                <w:b w:val="0"/>
                <w:sz w:val="24"/>
              </w:rPr>
              <w:t>Измерение при доле мошенников 6,9 / 1 / 0,5 / 0,1 %</w:t>
            </w:r>
          </w:p>
        </w:tc>
        <w:tc>
          <w:tcPr>
            <w:tcW w:type="dxa" w:w="3230"/>
          </w:tcPr>
          <w:p>
            <w:pPr>
              <w:spacing w:after="0" w:line="240" w:lineRule="auto"/>
              <w:jc w:val="center"/>
            </w:pPr>
            <w:r/>
            <w:r>
              <w:rPr>
                <w:rFonts w:ascii="Times New Roman" w:hAnsi="Times New Roman"/>
                <w:b w:val="0"/>
                <w:sz w:val="24"/>
              </w:rPr>
              <w:t>Установлена нечувствительность ROC-AUC к редкости</w:t>
            </w:r>
          </w:p>
        </w:tc>
      </w:tr>
      <w:tr>
        <w:tc>
          <w:tcPr>
            <w:tcW w:type="dxa" w:w="3230"/>
          </w:tcPr>
          <w:p>
            <w:pPr>
              <w:spacing w:after="0" w:line="240" w:lineRule="auto"/>
              <w:jc w:val="left"/>
            </w:pPr>
            <w:r/>
            <w:r>
              <w:rPr>
                <w:rFonts w:ascii="Times New Roman" w:hAnsi="Times New Roman"/>
                <w:b w:val="0"/>
                <w:sz w:val="24"/>
              </w:rPr>
              <w:t>11</w:t>
            </w:r>
          </w:p>
        </w:tc>
        <w:tc>
          <w:tcPr>
            <w:tcW w:type="dxa" w:w="3230"/>
          </w:tcPr>
          <w:p>
            <w:pPr>
              <w:spacing w:after="0" w:line="240" w:lineRule="auto"/>
              <w:jc w:val="center"/>
            </w:pPr>
            <w:r/>
            <w:r>
              <w:rPr>
                <w:rFonts w:ascii="Times New Roman" w:hAnsi="Times New Roman"/>
                <w:b w:val="0"/>
                <w:sz w:val="24"/>
              </w:rPr>
              <w:t>Измерение цены уклонения по каждому параметру</w:t>
            </w:r>
          </w:p>
        </w:tc>
        <w:tc>
          <w:tcPr>
            <w:tcW w:type="dxa" w:w="3230"/>
          </w:tcPr>
          <w:p>
            <w:pPr>
              <w:spacing w:after="0" w:line="240" w:lineRule="auto"/>
              <w:jc w:val="center"/>
            </w:pPr>
            <w:r/>
            <w:r>
              <w:rPr>
                <w:rFonts w:ascii="Times New Roman" w:hAnsi="Times New Roman"/>
                <w:b w:val="0"/>
                <w:sz w:val="24"/>
              </w:rPr>
              <w:t>Точка разрушения — три источника финансирования</w:t>
            </w:r>
          </w:p>
        </w:tc>
      </w:tr>
      <w:tr>
        <w:tc>
          <w:tcPr>
            <w:tcW w:type="dxa" w:w="3230"/>
          </w:tcPr>
          <w:p>
            <w:pPr>
              <w:spacing w:after="0" w:line="240" w:lineRule="auto"/>
              <w:jc w:val="left"/>
            </w:pPr>
            <w:r/>
            <w:r>
              <w:rPr>
                <w:rFonts w:ascii="Times New Roman" w:hAnsi="Times New Roman"/>
                <w:b w:val="0"/>
                <w:sz w:val="24"/>
              </w:rPr>
              <w:t>12</w:t>
            </w:r>
          </w:p>
        </w:tc>
        <w:tc>
          <w:tcPr>
            <w:tcW w:type="dxa" w:w="3230"/>
          </w:tcPr>
          <w:p>
            <w:pPr>
              <w:spacing w:after="0" w:line="240" w:lineRule="auto"/>
              <w:jc w:val="center"/>
            </w:pPr>
            <w:r/>
            <w:r>
              <w:rPr>
                <w:rFonts w:ascii="Times New Roman" w:hAnsi="Times New Roman"/>
                <w:b w:val="0"/>
                <w:sz w:val="24"/>
              </w:rPr>
              <w:t>Добавление криптовалютного канала и честных трейдеров</w:t>
            </w:r>
          </w:p>
        </w:tc>
        <w:tc>
          <w:tcPr>
            <w:tcW w:type="dxa" w:w="3230"/>
          </w:tcPr>
          <w:p>
            <w:pPr>
              <w:spacing w:after="0" w:line="240" w:lineRule="auto"/>
              <w:jc w:val="center"/>
            </w:pPr>
            <w:r/>
            <w:r>
              <w:rPr>
                <w:rFonts w:ascii="Times New Roman" w:hAnsi="Times New Roman"/>
                <w:b w:val="0"/>
                <w:sz w:val="24"/>
              </w:rPr>
              <w:t>Четыре типологии из пяти срабатывают в мире</w:t>
            </w:r>
          </w:p>
        </w:tc>
      </w:tr>
      <w:tr>
        <w:tc>
          <w:tcPr>
            <w:tcW w:type="dxa" w:w="3230"/>
          </w:tcPr>
          <w:p>
            <w:pPr>
              <w:spacing w:after="0" w:line="240" w:lineRule="auto"/>
              <w:jc w:val="left"/>
            </w:pPr>
            <w:r/>
            <w:r>
              <w:rPr>
                <w:rFonts w:ascii="Times New Roman" w:hAnsi="Times New Roman"/>
                <w:b w:val="0"/>
                <w:sz w:val="24"/>
              </w:rPr>
              <w:t>13</w:t>
            </w:r>
          </w:p>
        </w:tc>
        <w:tc>
          <w:tcPr>
            <w:tcW w:type="dxa" w:w="3230"/>
          </w:tcPr>
          <w:p>
            <w:pPr>
              <w:spacing w:after="0" w:line="240" w:lineRule="auto"/>
              <w:jc w:val="center"/>
            </w:pPr>
            <w:r/>
            <w:r>
              <w:rPr>
                <w:rFonts w:ascii="Times New Roman" w:hAnsi="Times New Roman"/>
                <w:b w:val="0"/>
                <w:sz w:val="24"/>
              </w:rPr>
              <w:t>Сборка конвейера от событий до очереди дел</w:t>
            </w:r>
          </w:p>
        </w:tc>
        <w:tc>
          <w:tcPr>
            <w:tcW w:type="dxa" w:w="3230"/>
          </w:tcPr>
          <w:p>
            <w:pPr>
              <w:spacing w:after="0" w:line="240" w:lineRule="auto"/>
              <w:jc w:val="center"/>
            </w:pPr>
            <w:r/>
            <w:r>
              <w:rPr>
                <w:rFonts w:ascii="Times New Roman" w:hAnsi="Times New Roman"/>
                <w:b w:val="0"/>
                <w:sz w:val="24"/>
              </w:rPr>
              <w:t>Полный прогон одной командой, 252 автоматических теста</w:t>
            </w:r>
          </w:p>
        </w:tc>
      </w:tr>
    </w:tbl>
    <w:p>
      <w:pPr>
        <w:spacing w:before="120" w:after="200"/>
        <w:jc w:val="center"/>
      </w:pPr>
      <w:r>
        <w:rPr>
          <w:rFonts w:ascii="Times New Roman" w:hAnsi="Times New Roman"/>
          <w:i/>
          <w:sz w:val="24"/>
        </w:rPr>
        <w:t>Таблица 7. Дневник выполнения работы</w:t>
      </w:r>
    </w:p>
    <w:p>
      <w:pPr>
        <w:spacing w:after="120"/>
        <w:ind w:firstLine="709"/>
        <w:jc w:val="both"/>
      </w:pPr>
      <w:r>
        <w:rPr>
          <w:rFonts w:ascii="Times New Roman" w:hAnsi="Times New Roman"/>
          <w:b w:val="0"/>
          <w:sz w:val="28"/>
        </w:rPr>
        <w:t>Отдельно отмечается, что этапы 6 и 9 представляют собой отрицательные результаты: заимствованный метод отбора рёбер оказался неприменим на текущем масштабе данных, а первая версия лестницы миров измеряла не то свойство, которое предполагалось. Оба эпизода сохранены в дневнике и в тексте работы, поскольку они являются частью научного результата: они показывают, какие именно проверки позволили отличить действительное улучшение метода от улучшения условий измерения.</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